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FE47" w14:textId="5FE782DB" w:rsidR="00A86E3F" w:rsidRPr="00795089" w:rsidRDefault="00A86E3F" w:rsidP="00A86E3F">
      <w:pPr>
        <w:jc w:val="center"/>
        <w:rPr>
          <w:b/>
          <w:bCs/>
        </w:rPr>
      </w:pPr>
      <w:proofErr w:type="spellStart"/>
      <w:r w:rsidRPr="00795089">
        <w:rPr>
          <w:b/>
          <w:bCs/>
        </w:rPr>
        <w:t>cardfactory</w:t>
      </w:r>
      <w:proofErr w:type="spellEnd"/>
      <w:r w:rsidRPr="00795089">
        <w:rPr>
          <w:b/>
          <w:bCs/>
        </w:rPr>
        <w:t xml:space="preserve"> Foundation </w:t>
      </w:r>
    </w:p>
    <w:p w14:paraId="389BC2E4" w14:textId="7525D038" w:rsidR="008B3B79" w:rsidRPr="00795089" w:rsidRDefault="00E95EB8" w:rsidP="00A86E3F">
      <w:pPr>
        <w:jc w:val="center"/>
        <w:rPr>
          <w:b/>
          <w:bCs/>
        </w:rPr>
      </w:pPr>
      <w:r w:rsidRPr="318A84E5">
        <w:rPr>
          <w:b/>
          <w:bCs/>
        </w:rPr>
        <w:t xml:space="preserve">The </w:t>
      </w:r>
      <w:r w:rsidR="008B3B79" w:rsidRPr="318A84E5">
        <w:rPr>
          <w:b/>
          <w:bCs/>
        </w:rPr>
        <w:t xml:space="preserve">Community Fund </w:t>
      </w:r>
      <w:r w:rsidR="33958C28" w:rsidRPr="318A84E5">
        <w:rPr>
          <w:b/>
          <w:bCs/>
        </w:rPr>
        <w:t xml:space="preserve">(External) </w:t>
      </w:r>
      <w:r w:rsidR="00C55A39" w:rsidRPr="318A84E5">
        <w:rPr>
          <w:b/>
          <w:bCs/>
        </w:rPr>
        <w:t xml:space="preserve">– Guidance </w:t>
      </w:r>
      <w:r w:rsidR="00B04C9F" w:rsidRPr="318A84E5">
        <w:rPr>
          <w:b/>
          <w:bCs/>
        </w:rPr>
        <w:t>for</w:t>
      </w:r>
      <w:r w:rsidR="00C55A39" w:rsidRPr="318A84E5">
        <w:rPr>
          <w:b/>
          <w:bCs/>
        </w:rPr>
        <w:t xml:space="preserve"> Charities</w:t>
      </w:r>
    </w:p>
    <w:p w14:paraId="3C93A888" w14:textId="3F642CFB" w:rsidR="00B2553E" w:rsidRPr="00795089" w:rsidRDefault="00B2553E">
      <w:pPr>
        <w:rPr>
          <w:b/>
          <w:bCs/>
        </w:rPr>
      </w:pPr>
      <w:r w:rsidRPr="00795089">
        <w:rPr>
          <w:b/>
          <w:bCs/>
        </w:rPr>
        <w:t xml:space="preserve">Introduction </w:t>
      </w:r>
    </w:p>
    <w:p w14:paraId="587F0853" w14:textId="4831B717" w:rsidR="005A746A" w:rsidRPr="00795089" w:rsidRDefault="005A746A">
      <w:r>
        <w:t>The Community Fund</w:t>
      </w:r>
      <w:r w:rsidR="122CDE91">
        <w:t xml:space="preserve"> (External)</w:t>
      </w:r>
      <w:r>
        <w:t xml:space="preserve"> supports organisations working in our three priority areas, providing vital support to people and communities at the moments that matter. These areas </w:t>
      </w:r>
      <w:r w:rsidR="00C55A39">
        <w:t>are</w:t>
      </w:r>
      <w:r>
        <w:t xml:space="preserve"> </w:t>
      </w:r>
      <w:r w:rsidRPr="318A84E5">
        <w:rPr>
          <w:b/>
          <w:bCs/>
        </w:rPr>
        <w:t>families experiencing financial disadvantage, sudden hardship and crisis and vulnerable children and young people.</w:t>
      </w:r>
      <w:r>
        <w:t xml:space="preserve"> </w:t>
      </w:r>
    </w:p>
    <w:p w14:paraId="4EEBFF34" w14:textId="24440015" w:rsidR="00696FBF" w:rsidRPr="00795089" w:rsidRDefault="00696FBF">
      <w:r w:rsidRPr="00795089">
        <w:t>Our goal is to address immediate needs while helping communities and individuals build long-term stability and resilience.</w:t>
      </w:r>
    </w:p>
    <w:p w14:paraId="3A1AB00F" w14:textId="77777777" w:rsidR="00696FBF" w:rsidRPr="00795089" w:rsidRDefault="00696FBF" w:rsidP="00696FBF">
      <w:pPr>
        <w:pStyle w:val="ListBullet"/>
        <w:numPr>
          <w:ilvl w:val="0"/>
          <w:numId w:val="0"/>
        </w:numPr>
        <w:spacing w:after="120"/>
        <w:ind w:left="360" w:hanging="360"/>
        <w:rPr>
          <w:rFonts w:cs="Calibri"/>
          <w:b/>
          <w:bCs/>
          <w:sz w:val="24"/>
          <w:szCs w:val="24"/>
          <w:lang w:val="en-GB"/>
        </w:rPr>
      </w:pPr>
      <w:r w:rsidRPr="00795089">
        <w:rPr>
          <w:rFonts w:cs="Calibri"/>
          <w:b/>
          <w:bCs/>
          <w:sz w:val="24"/>
          <w:szCs w:val="24"/>
          <w:lang w:val="en-GB"/>
        </w:rPr>
        <w:t xml:space="preserve">Application Process &amp; Details </w:t>
      </w:r>
    </w:p>
    <w:p w14:paraId="2CE1107C" w14:textId="77777777" w:rsidR="00696FBF" w:rsidRPr="00795089" w:rsidRDefault="00696FBF" w:rsidP="00696FBF">
      <w:pPr>
        <w:pStyle w:val="ListBullet"/>
        <w:numPr>
          <w:ilvl w:val="0"/>
          <w:numId w:val="5"/>
        </w:numPr>
        <w:spacing w:after="120"/>
        <w:rPr>
          <w:rFonts w:cs="Calibri"/>
          <w:sz w:val="24"/>
          <w:szCs w:val="24"/>
          <w:lang w:val="en-GB"/>
        </w:rPr>
      </w:pPr>
      <w:r w:rsidRPr="00795089">
        <w:rPr>
          <w:rFonts w:cs="Calibri"/>
          <w:sz w:val="24"/>
          <w:szCs w:val="24"/>
          <w:lang w:val="en-GB"/>
        </w:rPr>
        <w:t xml:space="preserve">We operate a single-stage application process. </w:t>
      </w:r>
    </w:p>
    <w:p w14:paraId="5CCD8326" w14:textId="4D8E5D02" w:rsidR="00BD6EC8" w:rsidRDefault="00696FBF" w:rsidP="00BD6EC8">
      <w:pPr>
        <w:pStyle w:val="ListBullet"/>
        <w:numPr>
          <w:ilvl w:val="0"/>
          <w:numId w:val="5"/>
        </w:numPr>
        <w:spacing w:after="120"/>
        <w:rPr>
          <w:rFonts w:cs="Calibri"/>
          <w:sz w:val="24"/>
          <w:szCs w:val="24"/>
          <w:lang w:val="en-GB"/>
        </w:rPr>
      </w:pPr>
      <w:r w:rsidRPr="00795089">
        <w:rPr>
          <w:rFonts w:cs="Calibri"/>
          <w:sz w:val="24"/>
          <w:szCs w:val="24"/>
          <w:lang w:val="en-GB"/>
        </w:rPr>
        <w:t xml:space="preserve">We offer unrestricted grants of £10,000 only, requests for other amounts will not be considered and your application </w:t>
      </w:r>
      <w:r w:rsidR="008132D7">
        <w:rPr>
          <w:rFonts w:cs="Calibri"/>
          <w:sz w:val="24"/>
          <w:szCs w:val="24"/>
          <w:lang w:val="en-GB"/>
        </w:rPr>
        <w:t>may</w:t>
      </w:r>
      <w:r w:rsidRPr="00795089">
        <w:rPr>
          <w:rFonts w:cs="Calibri"/>
          <w:sz w:val="24"/>
          <w:szCs w:val="24"/>
          <w:lang w:val="en-GB"/>
        </w:rPr>
        <w:t xml:space="preserve"> be automatically rejected. </w:t>
      </w:r>
      <w:r w:rsidR="00BD6EC8" w:rsidRPr="003A092E">
        <w:rPr>
          <w:rFonts w:cs="Calibri"/>
          <w:sz w:val="24"/>
          <w:szCs w:val="24"/>
          <w:lang w:val="en-GB"/>
        </w:rPr>
        <w:t>While the funding is unrestricted for your core operations, you must be able to report on the specific KPI associated with your chosen priority area.</w:t>
      </w:r>
    </w:p>
    <w:p w14:paraId="522C38AB" w14:textId="3B9BA31E" w:rsidR="00564885" w:rsidRPr="00BD6EC8" w:rsidRDefault="00696FBF" w:rsidP="00BD6EC8">
      <w:pPr>
        <w:pStyle w:val="ListBullet"/>
        <w:numPr>
          <w:ilvl w:val="0"/>
          <w:numId w:val="5"/>
        </w:numPr>
        <w:spacing w:after="120"/>
        <w:rPr>
          <w:rFonts w:cs="Calibri"/>
          <w:sz w:val="24"/>
          <w:szCs w:val="24"/>
          <w:lang w:val="en-GB"/>
        </w:rPr>
      </w:pPr>
      <w:r w:rsidRPr="00BD6EC8">
        <w:rPr>
          <w:rFonts w:cs="Calibri"/>
          <w:sz w:val="24"/>
          <w:szCs w:val="24"/>
          <w:lang w:val="en-GB"/>
        </w:rPr>
        <w:t xml:space="preserve">Applications must be submitted via </w:t>
      </w:r>
      <w:r w:rsidR="0AE380A1" w:rsidRPr="00BD6EC8">
        <w:rPr>
          <w:rFonts w:cs="Calibri"/>
          <w:sz w:val="24"/>
          <w:szCs w:val="24"/>
          <w:lang w:val="en-GB"/>
        </w:rPr>
        <w:t>the Microsoft form link</w:t>
      </w:r>
      <w:r w:rsidRPr="00BD6EC8">
        <w:rPr>
          <w:rFonts w:cs="Calibri"/>
          <w:sz w:val="24"/>
          <w:szCs w:val="24"/>
          <w:lang w:val="en-GB"/>
        </w:rPr>
        <w:t>, applications submitted by email or post will not be considered</w:t>
      </w:r>
      <w:r w:rsidR="00564885" w:rsidRPr="00BD6EC8">
        <w:rPr>
          <w:rFonts w:cs="Calibri"/>
          <w:sz w:val="24"/>
          <w:szCs w:val="24"/>
          <w:lang w:val="en-GB"/>
        </w:rPr>
        <w:t xml:space="preserve">. </w:t>
      </w:r>
    </w:p>
    <w:p w14:paraId="41FA4AF7" w14:textId="3CBDA33D" w:rsidR="00696FBF" w:rsidRPr="00795089" w:rsidRDefault="006C5D2A" w:rsidP="00564885">
      <w:pPr>
        <w:pStyle w:val="ListBullet"/>
        <w:numPr>
          <w:ilvl w:val="0"/>
          <w:numId w:val="0"/>
        </w:numPr>
        <w:spacing w:after="120"/>
        <w:ind w:left="720"/>
        <w:rPr>
          <w:rFonts w:cs="Calibri"/>
          <w:sz w:val="24"/>
          <w:szCs w:val="24"/>
          <w:lang w:val="en-GB"/>
        </w:rPr>
      </w:pPr>
      <w:r w:rsidRPr="00795089">
        <w:rPr>
          <w:rFonts w:cs="Calibri"/>
          <w:sz w:val="24"/>
          <w:szCs w:val="24"/>
          <w:lang w:val="en-GB"/>
        </w:rPr>
        <w:t xml:space="preserve"> </w:t>
      </w:r>
    </w:p>
    <w:p w14:paraId="1D6871AC" w14:textId="5DBA40BA" w:rsidR="00AF6147" w:rsidRPr="00564885" w:rsidRDefault="00AF6147" w:rsidP="00AF6147">
      <w:pPr>
        <w:pStyle w:val="ListBullet"/>
        <w:numPr>
          <w:ilvl w:val="0"/>
          <w:numId w:val="0"/>
        </w:numPr>
        <w:spacing w:after="120"/>
        <w:rPr>
          <w:rFonts w:cs="Calibri"/>
          <w:b/>
          <w:bCs/>
          <w:sz w:val="24"/>
          <w:szCs w:val="24"/>
          <w:lang w:val="en-GB"/>
        </w:rPr>
      </w:pPr>
      <w:r w:rsidRPr="00564885">
        <w:rPr>
          <w:rFonts w:cs="Calibri"/>
          <w:b/>
          <w:bCs/>
          <w:sz w:val="24"/>
          <w:szCs w:val="24"/>
          <w:lang w:val="en-GB"/>
        </w:rPr>
        <w:t xml:space="preserve">Application Form </w:t>
      </w:r>
    </w:p>
    <w:p w14:paraId="5EF0AAC3" w14:textId="1B7FFF97" w:rsidR="00AF6147" w:rsidRPr="00795089" w:rsidRDefault="00AF6147" w:rsidP="00AF6147">
      <w:pPr>
        <w:pStyle w:val="ListBullet"/>
        <w:numPr>
          <w:ilvl w:val="0"/>
          <w:numId w:val="0"/>
        </w:numPr>
        <w:spacing w:after="120"/>
        <w:rPr>
          <w:rFonts w:cs="Calibri"/>
          <w:sz w:val="24"/>
          <w:szCs w:val="24"/>
          <w:lang w:val="en-GB"/>
        </w:rPr>
      </w:pPr>
      <w:r w:rsidRPr="00795089">
        <w:rPr>
          <w:rFonts w:cs="Calibri"/>
          <w:sz w:val="24"/>
          <w:szCs w:val="24"/>
          <w:lang w:val="en-GB"/>
        </w:rPr>
        <w:t>The application form will ask for:</w:t>
      </w:r>
    </w:p>
    <w:p w14:paraId="091AF179" w14:textId="77777777" w:rsidR="00E068F4" w:rsidRDefault="00AF6147" w:rsidP="00E068F4">
      <w:pPr>
        <w:pStyle w:val="ListBullet"/>
        <w:numPr>
          <w:ilvl w:val="0"/>
          <w:numId w:val="12"/>
        </w:numPr>
        <w:spacing w:after="120"/>
        <w:rPr>
          <w:rFonts w:cs="Calibri"/>
          <w:sz w:val="24"/>
          <w:szCs w:val="24"/>
          <w:lang w:val="en-GB"/>
        </w:rPr>
      </w:pPr>
      <w:r w:rsidRPr="00795089">
        <w:rPr>
          <w:rFonts w:cs="Calibri"/>
          <w:sz w:val="24"/>
          <w:szCs w:val="24"/>
          <w:lang w:val="en-GB"/>
        </w:rPr>
        <w:t xml:space="preserve">Organisational information </w:t>
      </w:r>
      <w:r w:rsidR="00795089" w:rsidRPr="00795089">
        <w:rPr>
          <w:rFonts w:cs="Calibri"/>
          <w:sz w:val="24"/>
          <w:szCs w:val="24"/>
          <w:lang w:val="en-GB"/>
        </w:rPr>
        <w:t>including vision</w:t>
      </w:r>
      <w:r w:rsidR="00DF5ED4">
        <w:rPr>
          <w:rFonts w:cs="Calibri"/>
          <w:sz w:val="24"/>
          <w:szCs w:val="24"/>
          <w:lang w:val="en-GB"/>
        </w:rPr>
        <w:t>, mission and charity number</w:t>
      </w:r>
    </w:p>
    <w:p w14:paraId="7ED3A496" w14:textId="20DE3EC6" w:rsidR="00AF6147" w:rsidRPr="00E068F4" w:rsidRDefault="00AF6147" w:rsidP="00E068F4">
      <w:pPr>
        <w:pStyle w:val="ListBullet"/>
        <w:numPr>
          <w:ilvl w:val="0"/>
          <w:numId w:val="12"/>
        </w:numPr>
        <w:spacing w:after="120"/>
        <w:rPr>
          <w:rFonts w:cs="Calibri"/>
          <w:sz w:val="24"/>
          <w:szCs w:val="24"/>
          <w:lang w:val="en-GB"/>
        </w:rPr>
      </w:pPr>
      <w:r w:rsidRPr="00E068F4">
        <w:rPr>
          <w:rFonts w:cs="Calibri"/>
          <w:sz w:val="24"/>
          <w:szCs w:val="24"/>
          <w:lang w:val="en-GB"/>
        </w:rPr>
        <w:t>The number of beneficiaries you support annually</w:t>
      </w:r>
      <w:r w:rsidR="74B070CF" w:rsidRPr="00E068F4">
        <w:rPr>
          <w:rFonts w:cs="Calibri"/>
          <w:sz w:val="24"/>
          <w:szCs w:val="24"/>
          <w:lang w:val="en-GB"/>
        </w:rPr>
        <w:t xml:space="preserve"> (</w:t>
      </w:r>
      <w:r w:rsidR="00DF5ED4" w:rsidRPr="00E068F4">
        <w:rPr>
          <w:rFonts w:cs="Calibri"/>
          <w:sz w:val="24"/>
          <w:szCs w:val="24"/>
          <w:lang w:val="en-GB"/>
        </w:rPr>
        <w:t>directly and indirectly</w:t>
      </w:r>
      <w:r w:rsidR="1DA63795" w:rsidRPr="00E068F4">
        <w:rPr>
          <w:rFonts w:cs="Calibri"/>
          <w:sz w:val="24"/>
          <w:szCs w:val="24"/>
          <w:lang w:val="en-GB"/>
        </w:rPr>
        <w:t xml:space="preserve">) </w:t>
      </w:r>
    </w:p>
    <w:p w14:paraId="07BAE827" w14:textId="15F45765" w:rsidR="00AF6147" w:rsidRPr="00795089" w:rsidRDefault="00AF6147" w:rsidP="00AF6147">
      <w:pPr>
        <w:pStyle w:val="ListBullet"/>
        <w:numPr>
          <w:ilvl w:val="0"/>
          <w:numId w:val="12"/>
        </w:numPr>
        <w:spacing w:after="120"/>
        <w:rPr>
          <w:rFonts w:cs="Calibri"/>
          <w:sz w:val="24"/>
          <w:szCs w:val="24"/>
          <w:lang w:val="en-GB"/>
        </w:rPr>
      </w:pPr>
      <w:r w:rsidRPr="00795089">
        <w:rPr>
          <w:rFonts w:cs="Calibri"/>
          <w:sz w:val="24"/>
          <w:szCs w:val="24"/>
          <w:lang w:val="en-GB"/>
        </w:rPr>
        <w:t xml:space="preserve">Priority area selection </w:t>
      </w:r>
    </w:p>
    <w:p w14:paraId="23266C58" w14:textId="1DB2CEF0" w:rsidR="00AF6147" w:rsidRDefault="00AF6147" w:rsidP="00AF6147">
      <w:pPr>
        <w:pStyle w:val="ListBullet"/>
        <w:numPr>
          <w:ilvl w:val="0"/>
          <w:numId w:val="12"/>
        </w:numPr>
        <w:spacing w:after="120"/>
        <w:rPr>
          <w:rFonts w:cs="Calibri"/>
          <w:sz w:val="24"/>
          <w:szCs w:val="24"/>
          <w:lang w:val="en-GB"/>
        </w:rPr>
      </w:pPr>
      <w:r w:rsidRPr="00795089">
        <w:rPr>
          <w:rFonts w:cs="Calibri"/>
          <w:sz w:val="24"/>
          <w:szCs w:val="24"/>
          <w:lang w:val="en-GB"/>
        </w:rPr>
        <w:t xml:space="preserve">Expected outcomes and KPI reporting </w:t>
      </w:r>
    </w:p>
    <w:p w14:paraId="1E2D3C40" w14:textId="13E9C39F" w:rsidR="00564885" w:rsidRPr="00191E69" w:rsidRDefault="00564885" w:rsidP="00191E69">
      <w:pPr>
        <w:pStyle w:val="ListBullet"/>
        <w:numPr>
          <w:ilvl w:val="0"/>
          <w:numId w:val="12"/>
        </w:numPr>
        <w:spacing w:after="120"/>
        <w:rPr>
          <w:rFonts w:cs="Calibri"/>
          <w:sz w:val="24"/>
          <w:szCs w:val="24"/>
          <w:lang w:val="en-GB"/>
        </w:rPr>
      </w:pPr>
      <w:r>
        <w:rPr>
          <w:rFonts w:cs="Calibri"/>
          <w:sz w:val="24"/>
          <w:szCs w:val="24"/>
          <w:lang w:val="en-GB"/>
        </w:rPr>
        <w:t xml:space="preserve">Additional documents required: annual accounts and impact report &amp; safeguarding </w:t>
      </w:r>
    </w:p>
    <w:p w14:paraId="04E544BF" w14:textId="2BD081FF" w:rsidR="00B2553E" w:rsidRPr="00795089" w:rsidRDefault="00B2553E">
      <w:pPr>
        <w:rPr>
          <w:b/>
          <w:bCs/>
        </w:rPr>
      </w:pPr>
      <w:r w:rsidRPr="00795089">
        <w:rPr>
          <w:b/>
          <w:bCs/>
        </w:rPr>
        <w:t xml:space="preserve">Eligibility Criteria </w:t>
      </w:r>
    </w:p>
    <w:p w14:paraId="6BFB0661" w14:textId="01BCF597" w:rsidR="00696FBF" w:rsidRPr="00795089" w:rsidRDefault="00696FBF" w:rsidP="00696FBF">
      <w:r w:rsidRPr="00795089">
        <w:t>To be eligible for the External</w:t>
      </w:r>
      <w:r w:rsidR="00E95EB8" w:rsidRPr="00795089">
        <w:t xml:space="preserve"> </w:t>
      </w:r>
      <w:r w:rsidRPr="00795089">
        <w:t>Community Fund, organisations must meet the following criteria:</w:t>
      </w:r>
    </w:p>
    <w:p w14:paraId="1830B8DE" w14:textId="2BE43654" w:rsidR="00696FBF" w:rsidRPr="00795089" w:rsidRDefault="00696FBF" w:rsidP="00696FBF">
      <w:pPr>
        <w:pStyle w:val="ListParagraph"/>
        <w:numPr>
          <w:ilvl w:val="0"/>
          <w:numId w:val="7"/>
        </w:numPr>
      </w:pPr>
      <w:r w:rsidRPr="00795089">
        <w:rPr>
          <w:b/>
          <w:bCs/>
        </w:rPr>
        <w:t>Criteria:</w:t>
      </w:r>
      <w:r w:rsidRPr="00795089">
        <w:t xml:space="preserve"> Charities must be working within one or more of our priority areas (detailed below) </w:t>
      </w:r>
    </w:p>
    <w:p w14:paraId="5D54A661" w14:textId="77777777" w:rsidR="009E63A8" w:rsidRDefault="00696FBF" w:rsidP="00696FBF">
      <w:pPr>
        <w:numPr>
          <w:ilvl w:val="0"/>
          <w:numId w:val="6"/>
        </w:numPr>
      </w:pPr>
      <w:r w:rsidRPr="00795089">
        <w:rPr>
          <w:b/>
          <w:bCs/>
        </w:rPr>
        <w:t>Annual Income:</w:t>
      </w:r>
      <w:r w:rsidRPr="00795089">
        <w:t xml:space="preserve"> We support organisations with an income of up to £3 million per annum. We are particularly interested in supporting smaller, local charities where a £10,000 grant will deliver real impact. </w:t>
      </w:r>
    </w:p>
    <w:p w14:paraId="2030D96B" w14:textId="665C85DE" w:rsidR="00696FBF" w:rsidRPr="00795089" w:rsidRDefault="009E63A8" w:rsidP="009E63A8">
      <w:pPr>
        <w:ind w:left="720"/>
      </w:pPr>
      <w:r>
        <w:rPr>
          <w:b/>
          <w:bCs/>
        </w:rPr>
        <w:lastRenderedPageBreak/>
        <w:t>Please note:</w:t>
      </w:r>
      <w:r>
        <w:t xml:space="preserve"> </w:t>
      </w:r>
      <w:r w:rsidRPr="009E63A8">
        <w:t xml:space="preserve">If your income is usually under £3m but last year was an anomaly due to an exceptional legacy, training contract, or other circumstance, please email </w:t>
      </w:r>
      <w:hyperlink r:id="rId10" w:history="1">
        <w:r w:rsidR="004A393F" w:rsidRPr="00FE7268">
          <w:rPr>
            <w:rStyle w:val="Hyperlink"/>
          </w:rPr>
          <w:t>info@cardfactoryfoundation.org.uk</w:t>
        </w:r>
      </w:hyperlink>
      <w:r w:rsidR="004A393F">
        <w:t xml:space="preserve"> </w:t>
      </w:r>
      <w:r w:rsidRPr="009E63A8">
        <w:t>outlining your position and we will discuss this with you.</w:t>
      </w:r>
    </w:p>
    <w:p w14:paraId="0D119D44" w14:textId="43DC0800" w:rsidR="00696FBF" w:rsidRPr="00795089" w:rsidRDefault="00696FBF" w:rsidP="00696FBF">
      <w:pPr>
        <w:numPr>
          <w:ilvl w:val="0"/>
          <w:numId w:val="6"/>
        </w:numPr>
      </w:pPr>
      <w:r w:rsidRPr="00795089">
        <w:rPr>
          <w:b/>
          <w:bCs/>
        </w:rPr>
        <w:t xml:space="preserve">Registration: </w:t>
      </w:r>
      <w:r w:rsidRPr="00795089">
        <w:t xml:space="preserve">Must be registered charities with a valid </w:t>
      </w:r>
      <w:r w:rsidR="009068B3" w:rsidRPr="00795089">
        <w:t xml:space="preserve">charity </w:t>
      </w:r>
      <w:r w:rsidRPr="00795089">
        <w:t>number.</w:t>
      </w:r>
      <w:r w:rsidR="008F5DAF" w:rsidRPr="00795089">
        <w:t xml:space="preserve"> We do not accept applications from community-interest groups. </w:t>
      </w:r>
    </w:p>
    <w:p w14:paraId="77CAE070" w14:textId="77777777" w:rsidR="00696FBF" w:rsidRPr="00795089" w:rsidRDefault="00696FBF" w:rsidP="00696FBF">
      <w:pPr>
        <w:numPr>
          <w:ilvl w:val="0"/>
          <w:numId w:val="6"/>
        </w:numPr>
      </w:pPr>
      <w:r w:rsidRPr="318A84E5">
        <w:rPr>
          <w:b/>
          <w:bCs/>
        </w:rPr>
        <w:t xml:space="preserve">Operational History: </w:t>
      </w:r>
      <w:r>
        <w:t>Must have been actively operating for at least 18 months.</w:t>
      </w:r>
    </w:p>
    <w:p w14:paraId="3597940B" w14:textId="77777777" w:rsidR="00AA7B6F" w:rsidRDefault="00761812" w:rsidP="00696FBF">
      <w:pPr>
        <w:numPr>
          <w:ilvl w:val="0"/>
          <w:numId w:val="6"/>
        </w:numPr>
      </w:pPr>
      <w:r w:rsidRPr="00AA7B6F">
        <w:rPr>
          <w:b/>
          <w:bCs/>
        </w:rPr>
        <w:t>Geographical Scope:</w:t>
      </w:r>
      <w:r w:rsidRPr="00795089">
        <w:t xml:space="preserve"> </w:t>
      </w:r>
      <w:r w:rsidR="003D4A40" w:rsidRPr="00795089">
        <w:t>Charities must operate within the UK, at a national</w:t>
      </w:r>
      <w:r w:rsidR="00511718">
        <w:t xml:space="preserve">, </w:t>
      </w:r>
      <w:r w:rsidR="003D4A40" w:rsidRPr="00795089">
        <w:t xml:space="preserve">regional </w:t>
      </w:r>
      <w:r w:rsidR="00511718">
        <w:t xml:space="preserve">or </w:t>
      </w:r>
      <w:r w:rsidR="003D4A40" w:rsidRPr="00795089">
        <w:t>level</w:t>
      </w:r>
      <w:r w:rsidR="00AA7B6F">
        <w:t xml:space="preserve">. </w:t>
      </w:r>
    </w:p>
    <w:p w14:paraId="718C4933" w14:textId="66E335E6" w:rsidR="00982BBA" w:rsidRPr="00795089" w:rsidRDefault="00982BBA" w:rsidP="00696FBF">
      <w:pPr>
        <w:numPr>
          <w:ilvl w:val="0"/>
          <w:numId w:val="6"/>
        </w:numPr>
      </w:pPr>
      <w:r w:rsidRPr="00AA7B6F">
        <w:rPr>
          <w:b/>
          <w:bCs/>
        </w:rPr>
        <w:t>Exclusions:</w:t>
      </w:r>
      <w:r>
        <w:t xml:space="preserve"> We do not fund political parties, the promotion of religion or individuals. </w:t>
      </w:r>
    </w:p>
    <w:p w14:paraId="530254EA" w14:textId="143C2A78" w:rsidR="00505184" w:rsidRPr="00795089" w:rsidRDefault="00B4190C">
      <w:pPr>
        <w:rPr>
          <w:b/>
          <w:bCs/>
        </w:rPr>
      </w:pPr>
      <w:r w:rsidRPr="00795089">
        <w:rPr>
          <w:b/>
          <w:bCs/>
        </w:rPr>
        <w:t xml:space="preserve">Our Priority Areas </w:t>
      </w:r>
    </w:p>
    <w:p w14:paraId="7C0FFAF8" w14:textId="2894F324" w:rsidR="00C55A39" w:rsidRPr="00795089" w:rsidRDefault="00C55A39">
      <w:r w:rsidRPr="00795089">
        <w:t xml:space="preserve">We support charities working in one or more of the following priority areas: </w:t>
      </w:r>
    </w:p>
    <w:p w14:paraId="1BCD5308" w14:textId="77777777" w:rsidR="004751EB" w:rsidRDefault="00505184" w:rsidP="004751EB">
      <w:pPr>
        <w:pStyle w:val="ListBullet"/>
        <w:numPr>
          <w:ilvl w:val="0"/>
          <w:numId w:val="3"/>
        </w:numPr>
        <w:spacing w:after="120"/>
        <w:rPr>
          <w:rFonts w:cs="Calibri"/>
          <w:sz w:val="24"/>
          <w:szCs w:val="24"/>
          <w:lang w:val="en-GB"/>
        </w:rPr>
      </w:pPr>
      <w:r w:rsidRPr="00795089">
        <w:rPr>
          <w:rFonts w:cs="Calibri"/>
          <w:b/>
          <w:bCs/>
          <w:sz w:val="24"/>
          <w:szCs w:val="24"/>
          <w:lang w:val="en-GB"/>
        </w:rPr>
        <w:t>Families experiencing financial disadvantage:</w:t>
      </w:r>
      <w:r w:rsidRPr="00795089">
        <w:rPr>
          <w:rFonts w:cs="Calibri"/>
          <w:sz w:val="24"/>
          <w:szCs w:val="24"/>
          <w:lang w:val="en-GB"/>
        </w:rPr>
        <w:t xml:space="preserve"> We support families facing long-term, sustained economic hardship, rather than short-term or one-off events, that restricts their ability to meet essential needs like food, housing, or heating. </w:t>
      </w:r>
      <w:r w:rsidR="00F01670" w:rsidRPr="008B6899">
        <w:rPr>
          <w:rFonts w:cs="Calibri"/>
          <w:sz w:val="24"/>
          <w:szCs w:val="24"/>
          <w:lang w:val="en-GB"/>
        </w:rPr>
        <w:t>Our focus is on addressing immediate pressures while also supporting longer-term stability and resilience</w:t>
      </w:r>
      <w:r w:rsidR="00F01670">
        <w:rPr>
          <w:rFonts w:cs="Calibri"/>
          <w:sz w:val="24"/>
          <w:szCs w:val="24"/>
          <w:lang w:val="en-GB"/>
        </w:rPr>
        <w:t>.</w:t>
      </w:r>
    </w:p>
    <w:p w14:paraId="4514FA8D" w14:textId="2EF710E8" w:rsidR="00696FBF" w:rsidRPr="004751EB" w:rsidRDefault="004751EB" w:rsidP="004751EB">
      <w:pPr>
        <w:pStyle w:val="ListBullet"/>
        <w:numPr>
          <w:ilvl w:val="0"/>
          <w:numId w:val="3"/>
        </w:numPr>
        <w:spacing w:after="120"/>
        <w:rPr>
          <w:rFonts w:cs="Calibri"/>
          <w:sz w:val="24"/>
          <w:szCs w:val="24"/>
          <w:lang w:val="en-GB"/>
        </w:rPr>
      </w:pPr>
      <w:r w:rsidRPr="004751EB">
        <w:rPr>
          <w:rFonts w:cs="Calibri"/>
          <w:b/>
          <w:bCs/>
          <w:sz w:val="24"/>
          <w:szCs w:val="24"/>
          <w:lang w:val="en-GB"/>
        </w:rPr>
        <w:t>Hardship &amp; Crisis Support (Acute):</w:t>
      </w:r>
      <w:r w:rsidRPr="004751EB">
        <w:rPr>
          <w:rFonts w:cs="Calibri"/>
          <w:sz w:val="24"/>
          <w:szCs w:val="24"/>
          <w:lang w:val="en-GB"/>
        </w:rPr>
        <w:t xml:space="preserve"> We provide time-bound support to individuals and families experiencing a recent triggering event or escalation in risk (e.g. fleeing domestic abuse, imminent homelessness, or sudden bereavement). We are particularly interested in how organisations deliver sustained improvement and longer-term stability beyond the initial crisis response.</w:t>
      </w:r>
    </w:p>
    <w:p w14:paraId="6E168CE0" w14:textId="77777777" w:rsidR="00505184" w:rsidRPr="00795089" w:rsidRDefault="00505184" w:rsidP="00505184">
      <w:pPr>
        <w:pStyle w:val="ListBullet"/>
        <w:numPr>
          <w:ilvl w:val="0"/>
          <w:numId w:val="3"/>
        </w:numPr>
        <w:spacing w:after="120"/>
        <w:rPr>
          <w:rFonts w:cs="Calibri"/>
          <w:sz w:val="24"/>
          <w:szCs w:val="24"/>
          <w:lang w:val="en-GB"/>
        </w:rPr>
      </w:pPr>
      <w:r w:rsidRPr="00795089">
        <w:rPr>
          <w:rFonts w:cs="Calibri"/>
          <w:b/>
          <w:bCs/>
          <w:sz w:val="24"/>
          <w:szCs w:val="24"/>
          <w:lang w:val="en-GB"/>
        </w:rPr>
        <w:t>Vulnerable children &amp; young people (0–25):</w:t>
      </w:r>
      <w:r w:rsidRPr="00795089">
        <w:rPr>
          <w:rFonts w:cs="Calibri"/>
          <w:sz w:val="24"/>
          <w:szCs w:val="24"/>
          <w:lang w:val="en-GB"/>
        </w:rPr>
        <w:t xml:space="preserve"> We support young people facing circumstances that threaten their safety, wellbeing, or development. Our goal is to protect these individuals, build their resilience, and help them achieve stability. This includes support for those with care experience, at risk of exploitation, young carers, or those with complex needs (SEND).</w:t>
      </w:r>
    </w:p>
    <w:p w14:paraId="2F5E476E" w14:textId="77777777" w:rsidR="00505184" w:rsidRPr="00795089" w:rsidRDefault="00505184" w:rsidP="00696FBF">
      <w:pPr>
        <w:pStyle w:val="ListBullet"/>
        <w:numPr>
          <w:ilvl w:val="0"/>
          <w:numId w:val="0"/>
        </w:numPr>
        <w:spacing w:after="120"/>
        <w:rPr>
          <w:rFonts w:cs="Calibri"/>
          <w:sz w:val="24"/>
          <w:szCs w:val="24"/>
          <w:lang w:val="en-GB"/>
        </w:rPr>
      </w:pPr>
    </w:p>
    <w:p w14:paraId="466ADF2D" w14:textId="6B5C810C" w:rsidR="00211CC8" w:rsidRPr="00795089" w:rsidRDefault="00211CC8" w:rsidP="00696FBF">
      <w:pPr>
        <w:pStyle w:val="ListBullet"/>
        <w:numPr>
          <w:ilvl w:val="0"/>
          <w:numId w:val="0"/>
        </w:numPr>
        <w:spacing w:after="120"/>
        <w:rPr>
          <w:rFonts w:cs="Calibri"/>
          <w:b/>
          <w:bCs/>
          <w:sz w:val="24"/>
          <w:szCs w:val="24"/>
          <w:lang w:val="en-GB"/>
        </w:rPr>
      </w:pPr>
      <w:r w:rsidRPr="00795089">
        <w:rPr>
          <w:rFonts w:cs="Calibri"/>
          <w:b/>
          <w:bCs/>
          <w:sz w:val="24"/>
          <w:szCs w:val="24"/>
          <w:lang w:val="en-GB"/>
        </w:rPr>
        <w:t>Priority Area</w:t>
      </w:r>
      <w:r w:rsidR="00696FBF" w:rsidRPr="00795089">
        <w:rPr>
          <w:rFonts w:cs="Calibri"/>
          <w:b/>
          <w:bCs/>
          <w:sz w:val="24"/>
          <w:szCs w:val="24"/>
          <w:lang w:val="en-GB"/>
        </w:rPr>
        <w:t xml:space="preserve"> Selection</w:t>
      </w:r>
    </w:p>
    <w:p w14:paraId="0F904CBD" w14:textId="265E42F9" w:rsidR="00696FBF" w:rsidRPr="00795089" w:rsidRDefault="00211CC8" w:rsidP="00E068F4">
      <w:pPr>
        <w:pStyle w:val="ListBullet"/>
        <w:numPr>
          <w:ilvl w:val="0"/>
          <w:numId w:val="7"/>
        </w:numPr>
        <w:spacing w:after="120"/>
        <w:rPr>
          <w:rFonts w:cs="Calibri"/>
          <w:sz w:val="24"/>
          <w:szCs w:val="24"/>
          <w:lang w:val="en-GB"/>
        </w:rPr>
      </w:pPr>
      <w:r w:rsidRPr="318A84E5">
        <w:rPr>
          <w:rFonts w:cs="Calibri"/>
          <w:sz w:val="24"/>
          <w:szCs w:val="24"/>
          <w:lang w:val="en-GB"/>
        </w:rPr>
        <w:t>Applicants must choose one primary priority area</w:t>
      </w:r>
      <w:r w:rsidR="20BFC9C8" w:rsidRPr="318A84E5">
        <w:rPr>
          <w:rFonts w:cs="Calibri"/>
          <w:sz w:val="24"/>
          <w:szCs w:val="24"/>
          <w:lang w:val="en-GB"/>
        </w:rPr>
        <w:t xml:space="preserve">. </w:t>
      </w:r>
    </w:p>
    <w:p w14:paraId="2A15FE9E" w14:textId="32FC1591" w:rsidR="00696FBF" w:rsidRPr="00795089" w:rsidRDefault="00943C31" w:rsidP="00696FBF">
      <w:pPr>
        <w:pStyle w:val="ListBullet"/>
        <w:numPr>
          <w:ilvl w:val="0"/>
          <w:numId w:val="8"/>
        </w:numPr>
        <w:spacing w:after="120"/>
        <w:rPr>
          <w:rFonts w:cs="Calibri"/>
          <w:sz w:val="24"/>
          <w:szCs w:val="24"/>
          <w:lang w:val="en-GB"/>
        </w:rPr>
      </w:pPr>
      <w:r w:rsidRPr="00943C31">
        <w:rPr>
          <w:rFonts w:cs="Calibri"/>
          <w:sz w:val="24"/>
          <w:szCs w:val="24"/>
          <w:lang w:val="en-GB"/>
        </w:rPr>
        <w:t xml:space="preserve">If your work spans multiple categories, you may briefly explain </w:t>
      </w:r>
      <w:r w:rsidR="00131074" w:rsidRPr="00943C31">
        <w:rPr>
          <w:rFonts w:cs="Calibri"/>
          <w:sz w:val="24"/>
          <w:szCs w:val="24"/>
          <w:lang w:val="en-GB"/>
        </w:rPr>
        <w:t>this,</w:t>
      </w:r>
      <w:r w:rsidRPr="00943C31">
        <w:rPr>
          <w:rFonts w:cs="Calibri"/>
          <w:sz w:val="24"/>
          <w:szCs w:val="24"/>
          <w:lang w:val="en-GB"/>
        </w:rPr>
        <w:t xml:space="preserve"> but your impact reporting must focus on the primary area selected.</w:t>
      </w:r>
      <w:r>
        <w:rPr>
          <w:rFonts w:cs="Calibri"/>
          <w:sz w:val="24"/>
          <w:szCs w:val="24"/>
          <w:lang w:val="en-GB"/>
        </w:rPr>
        <w:t xml:space="preserve"> </w:t>
      </w:r>
      <w:r w:rsidR="00211CC8" w:rsidRPr="00795089">
        <w:rPr>
          <w:rFonts w:cs="Calibri"/>
          <w:sz w:val="24"/>
          <w:szCs w:val="24"/>
          <w:lang w:val="en-GB"/>
        </w:rPr>
        <w:t xml:space="preserve">A significant </w:t>
      </w:r>
      <w:r w:rsidR="00696FBF" w:rsidRPr="00795089">
        <w:rPr>
          <w:rFonts w:cs="Calibri"/>
          <w:sz w:val="24"/>
          <w:szCs w:val="24"/>
          <w:lang w:val="en-GB"/>
        </w:rPr>
        <w:t>number</w:t>
      </w:r>
      <w:r w:rsidR="00211CC8" w:rsidRPr="00795089">
        <w:rPr>
          <w:rFonts w:cs="Calibri"/>
          <w:sz w:val="24"/>
          <w:szCs w:val="24"/>
          <w:lang w:val="en-GB"/>
        </w:rPr>
        <w:t xml:space="preserve"> of</w:t>
      </w:r>
      <w:r w:rsidR="00696FBF" w:rsidRPr="00795089">
        <w:rPr>
          <w:rFonts w:cs="Calibri"/>
          <w:sz w:val="24"/>
          <w:szCs w:val="24"/>
          <w:lang w:val="en-GB"/>
        </w:rPr>
        <w:t xml:space="preserve"> your</w:t>
      </w:r>
      <w:r w:rsidR="00211CC8" w:rsidRPr="00795089">
        <w:rPr>
          <w:rFonts w:cs="Calibri"/>
          <w:sz w:val="24"/>
          <w:szCs w:val="24"/>
          <w:lang w:val="en-GB"/>
        </w:rPr>
        <w:t xml:space="preserve"> beneficiaries should fall within at least one priority group (see </w:t>
      </w:r>
      <w:r w:rsidR="00696FBF" w:rsidRPr="00795089">
        <w:rPr>
          <w:rFonts w:cs="Calibri"/>
          <w:sz w:val="24"/>
          <w:szCs w:val="24"/>
          <w:lang w:val="en-GB"/>
        </w:rPr>
        <w:t>below</w:t>
      </w:r>
      <w:r w:rsidR="00211CC8" w:rsidRPr="00795089">
        <w:rPr>
          <w:rFonts w:cs="Calibri"/>
          <w:sz w:val="24"/>
          <w:szCs w:val="24"/>
          <w:lang w:val="en-GB"/>
        </w:rPr>
        <w:t xml:space="preserve"> how we will assess this).  </w:t>
      </w:r>
    </w:p>
    <w:p w14:paraId="4088CAB3" w14:textId="6D5B86DF" w:rsidR="00D63F49" w:rsidRDefault="00D63F49" w:rsidP="318A84E5">
      <w:pPr>
        <w:pStyle w:val="ListBullet"/>
        <w:numPr>
          <w:ilvl w:val="0"/>
          <w:numId w:val="0"/>
        </w:numPr>
        <w:spacing w:after="120"/>
        <w:ind w:hanging="360"/>
        <w:rPr>
          <w:rFonts w:cs="Calibri"/>
          <w:b/>
          <w:bCs/>
          <w:sz w:val="24"/>
          <w:szCs w:val="24"/>
          <w:lang w:val="en-GB"/>
        </w:rPr>
      </w:pPr>
    </w:p>
    <w:p w14:paraId="645B5A0D" w14:textId="77777777" w:rsidR="00131074" w:rsidRDefault="00131074" w:rsidP="318A84E5">
      <w:pPr>
        <w:pStyle w:val="ListBullet"/>
        <w:numPr>
          <w:ilvl w:val="0"/>
          <w:numId w:val="0"/>
        </w:numPr>
        <w:spacing w:after="120"/>
        <w:ind w:hanging="360"/>
        <w:rPr>
          <w:rFonts w:cs="Calibri"/>
          <w:b/>
          <w:bCs/>
          <w:sz w:val="24"/>
          <w:szCs w:val="24"/>
          <w:lang w:val="en-GB"/>
        </w:rPr>
      </w:pPr>
    </w:p>
    <w:p w14:paraId="11CF6D7D" w14:textId="7CF0E4DC" w:rsidR="00211CC8" w:rsidRPr="00795089" w:rsidRDefault="00211CC8" w:rsidP="00696FBF">
      <w:pPr>
        <w:pStyle w:val="ListBullet"/>
        <w:numPr>
          <w:ilvl w:val="0"/>
          <w:numId w:val="0"/>
        </w:numPr>
        <w:spacing w:after="120"/>
        <w:rPr>
          <w:rFonts w:cs="Calibri"/>
          <w:b/>
          <w:bCs/>
          <w:sz w:val="24"/>
          <w:szCs w:val="24"/>
          <w:lang w:val="en-GB"/>
        </w:rPr>
      </w:pPr>
      <w:r w:rsidRPr="00795089">
        <w:rPr>
          <w:rFonts w:cs="Calibri"/>
          <w:b/>
          <w:bCs/>
          <w:sz w:val="24"/>
          <w:szCs w:val="24"/>
          <w:lang w:val="en-GB"/>
        </w:rPr>
        <w:lastRenderedPageBreak/>
        <w:t>Assessment Framework</w:t>
      </w:r>
    </w:p>
    <w:p w14:paraId="124CDC62" w14:textId="5969DAB8" w:rsidR="00505184" w:rsidRPr="00795089" w:rsidRDefault="00505184" w:rsidP="00505184">
      <w:pPr>
        <w:pStyle w:val="ListBullet"/>
        <w:numPr>
          <w:ilvl w:val="0"/>
          <w:numId w:val="0"/>
        </w:numPr>
        <w:spacing w:after="120"/>
        <w:rPr>
          <w:rFonts w:cs="Calibri"/>
          <w:b/>
          <w:bCs/>
          <w:sz w:val="24"/>
          <w:szCs w:val="24"/>
          <w:lang w:val="en-GB"/>
        </w:rPr>
      </w:pPr>
      <w:r w:rsidRPr="00795089">
        <w:rPr>
          <w:rFonts w:cs="Calibri"/>
          <w:sz w:val="24"/>
          <w:szCs w:val="24"/>
          <w:lang w:val="en-GB"/>
        </w:rPr>
        <w:t xml:space="preserve">We understand that smaller charities may not have complex data systems without complex report structures. </w:t>
      </w:r>
      <w:r w:rsidR="00696FBF" w:rsidRPr="00795089">
        <w:rPr>
          <w:rFonts w:cs="Calibri"/>
          <w:sz w:val="24"/>
          <w:szCs w:val="24"/>
          <w:lang w:val="en-GB"/>
        </w:rPr>
        <w:t xml:space="preserve">Assessment will instead be based on any relevant external or internal data you may have, as well as: </w:t>
      </w:r>
    </w:p>
    <w:p w14:paraId="29AF5440" w14:textId="77777777" w:rsidR="00505184" w:rsidRPr="00795089" w:rsidRDefault="00505184" w:rsidP="00505184">
      <w:pPr>
        <w:pStyle w:val="ListBullet"/>
        <w:tabs>
          <w:tab w:val="num" w:pos="360"/>
          <w:tab w:val="num" w:pos="720"/>
        </w:tabs>
        <w:spacing w:after="120"/>
        <w:ind w:left="720" w:hanging="360"/>
        <w:rPr>
          <w:rFonts w:cs="Calibri"/>
          <w:sz w:val="24"/>
          <w:szCs w:val="24"/>
          <w:lang w:val="en-GB"/>
        </w:rPr>
      </w:pPr>
      <w:r w:rsidRPr="00795089">
        <w:rPr>
          <w:rFonts w:cs="Calibri"/>
          <w:sz w:val="24"/>
          <w:szCs w:val="24"/>
          <w:lang w:val="en-GB"/>
        </w:rPr>
        <w:t>Who the service is designed for</w:t>
      </w:r>
    </w:p>
    <w:p w14:paraId="463FDB04" w14:textId="77777777" w:rsidR="00505184" w:rsidRPr="00795089" w:rsidRDefault="00505184" w:rsidP="00505184">
      <w:pPr>
        <w:pStyle w:val="ListBullet"/>
        <w:tabs>
          <w:tab w:val="num" w:pos="360"/>
          <w:tab w:val="num" w:pos="720"/>
        </w:tabs>
        <w:spacing w:after="120"/>
        <w:ind w:left="720" w:hanging="360"/>
        <w:rPr>
          <w:rFonts w:cs="Calibri"/>
          <w:sz w:val="24"/>
          <w:szCs w:val="24"/>
          <w:lang w:val="en-GB"/>
        </w:rPr>
      </w:pPr>
      <w:r w:rsidRPr="00795089">
        <w:rPr>
          <w:rFonts w:cs="Calibri"/>
          <w:sz w:val="24"/>
          <w:szCs w:val="24"/>
          <w:lang w:val="en-GB"/>
        </w:rPr>
        <w:t xml:space="preserve">Any referral pathways (if applicable) </w:t>
      </w:r>
    </w:p>
    <w:p w14:paraId="1AC1F209" w14:textId="7CA2380C" w:rsidR="00505184" w:rsidRPr="00795089" w:rsidRDefault="00505184" w:rsidP="00505184">
      <w:pPr>
        <w:pStyle w:val="ListBullet"/>
        <w:tabs>
          <w:tab w:val="num" w:pos="360"/>
          <w:tab w:val="num" w:pos="720"/>
        </w:tabs>
        <w:spacing w:after="120"/>
        <w:ind w:left="720" w:hanging="360"/>
        <w:rPr>
          <w:rFonts w:cs="Calibri"/>
          <w:sz w:val="24"/>
          <w:szCs w:val="24"/>
          <w:lang w:val="en-GB"/>
        </w:rPr>
      </w:pPr>
      <w:r w:rsidRPr="00795089">
        <w:rPr>
          <w:rFonts w:cs="Calibri"/>
          <w:sz w:val="24"/>
          <w:szCs w:val="24"/>
          <w:lang w:val="en-GB"/>
        </w:rPr>
        <w:t>The typical circumstances of beneficiaries</w:t>
      </w:r>
      <w:r w:rsidR="00696FBF" w:rsidRPr="00795089">
        <w:rPr>
          <w:rFonts w:cs="Calibri"/>
          <w:sz w:val="24"/>
          <w:szCs w:val="24"/>
          <w:lang w:val="en-GB"/>
        </w:rPr>
        <w:t xml:space="preserve"> including contextual evidence (as demonstrated in table below) </w:t>
      </w:r>
    </w:p>
    <w:p w14:paraId="3ED63DD7" w14:textId="69F4FE8B" w:rsidR="00CE306A" w:rsidRPr="00795089" w:rsidRDefault="00505184" w:rsidP="008D7E19">
      <w:pPr>
        <w:pStyle w:val="ListBullet"/>
        <w:tabs>
          <w:tab w:val="num" w:pos="360"/>
          <w:tab w:val="num" w:pos="720"/>
        </w:tabs>
        <w:spacing w:after="120"/>
        <w:ind w:left="720" w:hanging="360"/>
        <w:rPr>
          <w:rFonts w:cs="Calibri"/>
          <w:sz w:val="24"/>
          <w:szCs w:val="24"/>
          <w:lang w:val="en-GB"/>
        </w:rPr>
      </w:pPr>
      <w:r w:rsidRPr="00795089">
        <w:rPr>
          <w:rFonts w:cs="Calibri"/>
          <w:sz w:val="24"/>
          <w:szCs w:val="24"/>
          <w:lang w:val="en-GB"/>
        </w:rPr>
        <w:t xml:space="preserve">Clear examples of how you meet </w:t>
      </w:r>
      <w:r w:rsidR="00696FBF" w:rsidRPr="00795089">
        <w:rPr>
          <w:rFonts w:cs="Calibri"/>
          <w:sz w:val="24"/>
          <w:szCs w:val="24"/>
          <w:lang w:val="en-GB"/>
        </w:rPr>
        <w:t>the priority areas</w:t>
      </w:r>
    </w:p>
    <w:p w14:paraId="2CBA4597" w14:textId="77777777" w:rsidR="00CE306A" w:rsidRPr="00795089" w:rsidRDefault="00CE306A" w:rsidP="00696FBF">
      <w:pPr>
        <w:pStyle w:val="ListBullet"/>
        <w:numPr>
          <w:ilvl w:val="0"/>
          <w:numId w:val="0"/>
        </w:numPr>
        <w:tabs>
          <w:tab w:val="num" w:pos="720"/>
        </w:tabs>
        <w:spacing w:after="120"/>
        <w:ind w:left="720"/>
        <w:rPr>
          <w:rFonts w:cs="Calibri"/>
          <w:sz w:val="24"/>
          <w:szCs w:val="24"/>
          <w:lang w:val="en-GB"/>
        </w:rPr>
      </w:pPr>
    </w:p>
    <w:p w14:paraId="602DCBDB" w14:textId="3AE1AAD5" w:rsidR="00505184" w:rsidRPr="00795089" w:rsidRDefault="00505184" w:rsidP="00505184">
      <w:pPr>
        <w:pStyle w:val="ListBullet"/>
        <w:numPr>
          <w:ilvl w:val="0"/>
          <w:numId w:val="0"/>
        </w:numPr>
        <w:spacing w:after="120"/>
        <w:ind w:left="360" w:hanging="360"/>
        <w:rPr>
          <w:rFonts w:cs="Calibri"/>
          <w:b/>
          <w:bCs/>
          <w:sz w:val="24"/>
          <w:szCs w:val="24"/>
          <w:lang w:val="en-GB"/>
        </w:rPr>
      </w:pPr>
      <w:r w:rsidRPr="00795089">
        <w:rPr>
          <w:rFonts w:cs="Calibri"/>
          <w:b/>
          <w:bCs/>
          <w:sz w:val="24"/>
          <w:szCs w:val="24"/>
          <w:lang w:val="en-GB"/>
        </w:rPr>
        <w:t>Contextual Evidence by Priority Area</w:t>
      </w:r>
    </w:p>
    <w:tbl>
      <w:tblPr>
        <w:tblW w:w="9629" w:type="dxa"/>
        <w:tblLook w:val="04A0" w:firstRow="1" w:lastRow="0" w:firstColumn="1" w:lastColumn="0" w:noHBand="0" w:noVBand="1"/>
      </w:tblPr>
      <w:tblGrid>
        <w:gridCol w:w="2220"/>
        <w:gridCol w:w="3520"/>
        <w:gridCol w:w="3889"/>
      </w:tblGrid>
      <w:tr w:rsidR="00505184" w:rsidRPr="00795089" w14:paraId="2E51B377" w14:textId="77777777" w:rsidTr="00D66262">
        <w:trPr>
          <w:trHeight w:val="300"/>
        </w:trPr>
        <w:tc>
          <w:tcPr>
            <w:tcW w:w="2220" w:type="dxa"/>
            <w:tcBorders>
              <w:top w:val="single" w:sz="8" w:space="0" w:color="auto"/>
              <w:left w:val="single" w:sz="8" w:space="0" w:color="auto"/>
              <w:bottom w:val="single" w:sz="8" w:space="0" w:color="auto"/>
              <w:right w:val="single" w:sz="8" w:space="0" w:color="auto"/>
            </w:tcBorders>
            <w:shd w:val="clear" w:color="000000" w:fill="FBE2D5"/>
            <w:hideMark/>
          </w:tcPr>
          <w:p w14:paraId="57F271BD" w14:textId="77777777" w:rsidR="00505184" w:rsidRPr="00795089" w:rsidRDefault="00505184" w:rsidP="00D66262">
            <w:pPr>
              <w:spacing w:after="0" w:line="240" w:lineRule="auto"/>
              <w:rPr>
                <w:rFonts w:eastAsia="Times New Roman" w:cs="Calibri"/>
                <w:b/>
                <w:bCs/>
                <w:color w:val="000000"/>
                <w:lang w:eastAsia="en-GB"/>
              </w:rPr>
            </w:pPr>
            <w:r w:rsidRPr="00795089">
              <w:rPr>
                <w:rFonts w:eastAsia="Times New Roman" w:cs="Calibri"/>
                <w:b/>
                <w:bCs/>
                <w:color w:val="000000"/>
                <w:lang w:eastAsia="en-GB"/>
              </w:rPr>
              <w:t>Priority Area</w:t>
            </w:r>
          </w:p>
        </w:tc>
        <w:tc>
          <w:tcPr>
            <w:tcW w:w="3520" w:type="dxa"/>
            <w:tcBorders>
              <w:top w:val="single" w:sz="8" w:space="0" w:color="auto"/>
              <w:left w:val="nil"/>
              <w:bottom w:val="single" w:sz="8" w:space="0" w:color="auto"/>
              <w:right w:val="single" w:sz="8" w:space="0" w:color="auto"/>
            </w:tcBorders>
            <w:shd w:val="clear" w:color="000000" w:fill="FBE2D5"/>
            <w:hideMark/>
          </w:tcPr>
          <w:p w14:paraId="0B02500E" w14:textId="77777777" w:rsidR="00505184" w:rsidRPr="00795089" w:rsidRDefault="00505184" w:rsidP="00D66262">
            <w:pPr>
              <w:spacing w:after="0" w:line="240" w:lineRule="auto"/>
              <w:rPr>
                <w:rFonts w:eastAsia="Times New Roman" w:cs="Calibri"/>
                <w:b/>
                <w:bCs/>
                <w:color w:val="000000"/>
                <w:lang w:eastAsia="en-GB"/>
              </w:rPr>
            </w:pPr>
            <w:r w:rsidRPr="00795089">
              <w:rPr>
                <w:rFonts w:eastAsia="Times New Roman" w:cs="Calibri"/>
                <w:b/>
                <w:bCs/>
                <w:color w:val="000000"/>
                <w:lang w:eastAsia="en-GB"/>
              </w:rPr>
              <w:t>What we will look for and score</w:t>
            </w:r>
          </w:p>
        </w:tc>
        <w:tc>
          <w:tcPr>
            <w:tcW w:w="3889" w:type="dxa"/>
            <w:tcBorders>
              <w:top w:val="single" w:sz="8" w:space="0" w:color="auto"/>
              <w:left w:val="nil"/>
              <w:bottom w:val="single" w:sz="8" w:space="0" w:color="auto"/>
              <w:right w:val="single" w:sz="8" w:space="0" w:color="auto"/>
            </w:tcBorders>
            <w:shd w:val="clear" w:color="000000" w:fill="FBE2D5"/>
            <w:hideMark/>
          </w:tcPr>
          <w:p w14:paraId="72C5EE3E" w14:textId="77777777" w:rsidR="00505184" w:rsidRPr="00795089" w:rsidRDefault="00505184" w:rsidP="00D66262">
            <w:pPr>
              <w:spacing w:after="0" w:line="240" w:lineRule="auto"/>
              <w:rPr>
                <w:rFonts w:eastAsia="Times New Roman" w:cs="Calibri"/>
                <w:b/>
                <w:bCs/>
                <w:color w:val="000000"/>
                <w:lang w:eastAsia="en-GB"/>
              </w:rPr>
            </w:pPr>
            <w:r w:rsidRPr="00795089">
              <w:rPr>
                <w:rFonts w:eastAsia="Times New Roman" w:cs="Calibri"/>
                <w:b/>
                <w:bCs/>
                <w:color w:val="000000"/>
                <w:lang w:eastAsia="en-GB"/>
              </w:rPr>
              <w:t>Examples of contextual evidence</w:t>
            </w:r>
          </w:p>
        </w:tc>
      </w:tr>
      <w:tr w:rsidR="00505184" w:rsidRPr="00795089" w14:paraId="2B4134A5" w14:textId="77777777" w:rsidTr="00D66262">
        <w:trPr>
          <w:trHeight w:val="290"/>
        </w:trPr>
        <w:tc>
          <w:tcPr>
            <w:tcW w:w="2220" w:type="dxa"/>
            <w:vMerge w:val="restart"/>
            <w:tcBorders>
              <w:top w:val="nil"/>
              <w:left w:val="single" w:sz="8" w:space="0" w:color="auto"/>
              <w:bottom w:val="nil"/>
              <w:right w:val="single" w:sz="8" w:space="0" w:color="auto"/>
            </w:tcBorders>
            <w:hideMark/>
          </w:tcPr>
          <w:p w14:paraId="0F5EA849"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Financial Disadvantage</w:t>
            </w:r>
          </w:p>
        </w:tc>
        <w:tc>
          <w:tcPr>
            <w:tcW w:w="3520" w:type="dxa"/>
            <w:vMerge w:val="restart"/>
            <w:tcBorders>
              <w:top w:val="nil"/>
              <w:left w:val="single" w:sz="8" w:space="0" w:color="auto"/>
              <w:bottom w:val="nil"/>
              <w:right w:val="single" w:sz="8" w:space="0" w:color="auto"/>
            </w:tcBorders>
            <w:hideMark/>
          </w:tcPr>
          <w:p w14:paraId="3D6ABA02"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Evidence of sustained economic constraint rather than a one-off event.</w:t>
            </w:r>
          </w:p>
        </w:tc>
        <w:tc>
          <w:tcPr>
            <w:tcW w:w="3889" w:type="dxa"/>
            <w:tcBorders>
              <w:top w:val="nil"/>
              <w:left w:val="nil"/>
              <w:bottom w:val="nil"/>
              <w:right w:val="single" w:sz="8" w:space="0" w:color="auto"/>
            </w:tcBorders>
            <w:hideMark/>
          </w:tcPr>
          <w:p w14:paraId="426EAF20" w14:textId="4779D6F2" w:rsidR="00505184" w:rsidRPr="00795089" w:rsidRDefault="00505184" w:rsidP="00D66262">
            <w:pPr>
              <w:spacing w:after="0" w:line="240" w:lineRule="auto"/>
              <w:rPr>
                <w:rFonts w:eastAsia="Times New Roman" w:cs="Calibri"/>
                <w:b/>
                <w:bCs/>
                <w:color w:val="000000"/>
                <w:lang w:eastAsia="en-GB"/>
              </w:rPr>
            </w:pPr>
            <w:r w:rsidRPr="00795089">
              <w:rPr>
                <w:rFonts w:eastAsia="Times New Roman" w:cs="Calibri"/>
                <w:b/>
                <w:bCs/>
                <w:color w:val="000000"/>
                <w:lang w:eastAsia="en-GB"/>
              </w:rPr>
              <w:t>Location:</w:t>
            </w:r>
            <w:r w:rsidRPr="00795089">
              <w:rPr>
                <w:rFonts w:eastAsia="Times New Roman" w:cs="Calibri"/>
                <w:color w:val="000000"/>
                <w:lang w:eastAsia="en-GB"/>
              </w:rPr>
              <w:t xml:space="preserve"> </w:t>
            </w:r>
            <w:r w:rsidR="00017189" w:rsidRPr="00017189">
              <w:rPr>
                <w:rFonts w:eastAsia="Times New Roman" w:cs="Calibri"/>
                <w:color w:val="000000"/>
                <w:lang w:eastAsia="en-GB"/>
              </w:rPr>
              <w:t>Evidence that the service is delivered in high-need areas (e.g., top 20% of the Index of Multiple Deprivation).</w:t>
            </w:r>
          </w:p>
        </w:tc>
      </w:tr>
      <w:tr w:rsidR="00505184" w:rsidRPr="00795089" w14:paraId="4EA620D9" w14:textId="77777777" w:rsidTr="00D66262">
        <w:trPr>
          <w:trHeight w:val="290"/>
        </w:trPr>
        <w:tc>
          <w:tcPr>
            <w:tcW w:w="2220" w:type="dxa"/>
            <w:vMerge/>
            <w:tcBorders>
              <w:top w:val="nil"/>
              <w:left w:val="single" w:sz="8" w:space="0" w:color="auto"/>
              <w:bottom w:val="nil"/>
              <w:right w:val="single" w:sz="8" w:space="0" w:color="auto"/>
            </w:tcBorders>
            <w:vAlign w:val="center"/>
            <w:hideMark/>
          </w:tcPr>
          <w:p w14:paraId="7F8D657F"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nil"/>
              <w:left w:val="single" w:sz="8" w:space="0" w:color="auto"/>
              <w:bottom w:val="nil"/>
              <w:right w:val="single" w:sz="8" w:space="0" w:color="auto"/>
            </w:tcBorders>
            <w:vAlign w:val="center"/>
            <w:hideMark/>
          </w:tcPr>
          <w:p w14:paraId="6E7BA4E2"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nil"/>
              <w:right w:val="single" w:sz="8" w:space="0" w:color="auto"/>
            </w:tcBorders>
            <w:hideMark/>
          </w:tcPr>
          <w:p w14:paraId="187153BC"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Referrals:</w:t>
            </w:r>
            <w:r w:rsidRPr="00795089">
              <w:rPr>
                <w:rFonts w:eastAsia="Times New Roman" w:cs="Calibri"/>
                <w:color w:val="000000"/>
                <w:lang w:eastAsia="en-GB"/>
              </w:rPr>
              <w:t xml:space="preserve"> Direct pathways from food banks or debt advice centres.</w:t>
            </w:r>
          </w:p>
        </w:tc>
      </w:tr>
      <w:tr w:rsidR="00505184" w:rsidRPr="00795089" w14:paraId="70FE44C1" w14:textId="77777777" w:rsidTr="00D66262">
        <w:trPr>
          <w:trHeight w:val="590"/>
        </w:trPr>
        <w:tc>
          <w:tcPr>
            <w:tcW w:w="2220" w:type="dxa"/>
            <w:vMerge/>
            <w:tcBorders>
              <w:top w:val="nil"/>
              <w:left w:val="single" w:sz="8" w:space="0" w:color="auto"/>
              <w:bottom w:val="nil"/>
              <w:right w:val="single" w:sz="8" w:space="0" w:color="auto"/>
            </w:tcBorders>
            <w:vAlign w:val="center"/>
            <w:hideMark/>
          </w:tcPr>
          <w:p w14:paraId="5646FE98"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nil"/>
              <w:left w:val="single" w:sz="8" w:space="0" w:color="auto"/>
              <w:bottom w:val="nil"/>
              <w:right w:val="single" w:sz="8" w:space="0" w:color="auto"/>
            </w:tcBorders>
            <w:vAlign w:val="center"/>
            <w:hideMark/>
          </w:tcPr>
          <w:p w14:paraId="7CA1FE48"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nil"/>
              <w:right w:val="single" w:sz="8" w:space="0" w:color="auto"/>
            </w:tcBorders>
            <w:hideMark/>
          </w:tcPr>
          <w:p w14:paraId="6DA51407"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 xml:space="preserve">Circumstances: </w:t>
            </w:r>
            <w:r w:rsidRPr="00795089">
              <w:rPr>
                <w:rFonts w:eastAsia="Times New Roman" w:cs="Calibri"/>
                <w:color w:val="000000"/>
                <w:lang w:eastAsia="en-GB"/>
              </w:rPr>
              <w:t>Descriptions of typical beneficiaries as 'low-income' or 'food insecure'.</w:t>
            </w:r>
          </w:p>
        </w:tc>
      </w:tr>
      <w:tr w:rsidR="00505184" w:rsidRPr="00795089" w14:paraId="5EDD32AF" w14:textId="77777777" w:rsidTr="00D66262">
        <w:trPr>
          <w:trHeight w:val="630"/>
        </w:trPr>
        <w:tc>
          <w:tcPr>
            <w:tcW w:w="2220" w:type="dxa"/>
            <w:vMerge w:val="restart"/>
            <w:tcBorders>
              <w:top w:val="single" w:sz="8" w:space="0" w:color="auto"/>
              <w:left w:val="single" w:sz="8" w:space="0" w:color="auto"/>
              <w:bottom w:val="nil"/>
              <w:right w:val="single" w:sz="8" w:space="0" w:color="auto"/>
            </w:tcBorders>
            <w:hideMark/>
          </w:tcPr>
          <w:p w14:paraId="65A095D3"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Hardship &amp; Crisis</w:t>
            </w:r>
          </w:p>
        </w:tc>
        <w:tc>
          <w:tcPr>
            <w:tcW w:w="3520" w:type="dxa"/>
            <w:vMerge w:val="restart"/>
            <w:tcBorders>
              <w:top w:val="single" w:sz="8" w:space="0" w:color="auto"/>
              <w:left w:val="single" w:sz="8" w:space="0" w:color="auto"/>
              <w:bottom w:val="single" w:sz="8" w:space="0" w:color="000000"/>
              <w:right w:val="single" w:sz="8" w:space="0" w:color="auto"/>
            </w:tcBorders>
            <w:hideMark/>
          </w:tcPr>
          <w:p w14:paraId="5CA0A747"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Evidence of a recent 'triggering event' requiring stabilisation or prevention of escalation.</w:t>
            </w:r>
          </w:p>
        </w:tc>
        <w:tc>
          <w:tcPr>
            <w:tcW w:w="3889" w:type="dxa"/>
            <w:tcBorders>
              <w:top w:val="single" w:sz="8" w:space="0" w:color="auto"/>
              <w:left w:val="nil"/>
              <w:bottom w:val="nil"/>
              <w:right w:val="single" w:sz="8" w:space="0" w:color="auto"/>
            </w:tcBorders>
            <w:hideMark/>
          </w:tcPr>
          <w:p w14:paraId="1A3E30A7"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Emergency pathways:</w:t>
            </w:r>
            <w:r w:rsidRPr="00795089">
              <w:rPr>
                <w:rFonts w:eastAsia="Times New Roman" w:cs="Calibri"/>
                <w:color w:val="000000"/>
                <w:lang w:eastAsia="en-GB"/>
              </w:rPr>
              <w:t xml:space="preserve"> Referrals from police, domestic abuse shelters, or housing officers. </w:t>
            </w:r>
          </w:p>
        </w:tc>
      </w:tr>
      <w:tr w:rsidR="00505184" w:rsidRPr="00795089" w14:paraId="519881F8" w14:textId="77777777" w:rsidTr="00D66262">
        <w:trPr>
          <w:trHeight w:val="580"/>
        </w:trPr>
        <w:tc>
          <w:tcPr>
            <w:tcW w:w="2220" w:type="dxa"/>
            <w:vMerge/>
            <w:tcBorders>
              <w:top w:val="single" w:sz="8" w:space="0" w:color="auto"/>
              <w:left w:val="single" w:sz="8" w:space="0" w:color="auto"/>
              <w:bottom w:val="nil"/>
              <w:right w:val="single" w:sz="8" w:space="0" w:color="auto"/>
            </w:tcBorders>
            <w:vAlign w:val="center"/>
            <w:hideMark/>
          </w:tcPr>
          <w:p w14:paraId="66EE505E"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single" w:sz="8" w:space="0" w:color="auto"/>
              <w:left w:val="single" w:sz="8" w:space="0" w:color="auto"/>
              <w:bottom w:val="single" w:sz="8" w:space="0" w:color="000000"/>
              <w:right w:val="single" w:sz="8" w:space="0" w:color="auto"/>
            </w:tcBorders>
            <w:vAlign w:val="center"/>
            <w:hideMark/>
          </w:tcPr>
          <w:p w14:paraId="5F8E1C75"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nil"/>
              <w:right w:val="single" w:sz="8" w:space="0" w:color="auto"/>
            </w:tcBorders>
            <w:hideMark/>
          </w:tcPr>
          <w:p w14:paraId="69E6AD70"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Time-bound:</w:t>
            </w:r>
            <w:r w:rsidRPr="00795089">
              <w:rPr>
                <w:rFonts w:eastAsia="Times New Roman" w:cs="Calibri"/>
                <w:color w:val="000000"/>
                <w:lang w:eastAsia="en-GB"/>
              </w:rPr>
              <w:t xml:space="preserve"> Project plans showing short-term, acute support (e.g., 3-6 sessions). </w:t>
            </w:r>
          </w:p>
        </w:tc>
      </w:tr>
      <w:tr w:rsidR="00505184" w:rsidRPr="00795089" w14:paraId="2DECD2A6" w14:textId="77777777" w:rsidTr="00D66262">
        <w:trPr>
          <w:trHeight w:val="590"/>
        </w:trPr>
        <w:tc>
          <w:tcPr>
            <w:tcW w:w="2220" w:type="dxa"/>
            <w:vMerge/>
            <w:tcBorders>
              <w:top w:val="single" w:sz="8" w:space="0" w:color="auto"/>
              <w:left w:val="single" w:sz="8" w:space="0" w:color="auto"/>
              <w:bottom w:val="nil"/>
              <w:right w:val="single" w:sz="8" w:space="0" w:color="auto"/>
            </w:tcBorders>
            <w:vAlign w:val="center"/>
            <w:hideMark/>
          </w:tcPr>
          <w:p w14:paraId="62BEF097"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single" w:sz="8" w:space="0" w:color="auto"/>
              <w:left w:val="single" w:sz="8" w:space="0" w:color="auto"/>
              <w:bottom w:val="single" w:sz="8" w:space="0" w:color="000000"/>
              <w:right w:val="single" w:sz="8" w:space="0" w:color="auto"/>
            </w:tcBorders>
            <w:vAlign w:val="center"/>
            <w:hideMark/>
          </w:tcPr>
          <w:p w14:paraId="5220C777"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nil"/>
              <w:right w:val="single" w:sz="8" w:space="0" w:color="auto"/>
            </w:tcBorders>
            <w:hideMark/>
          </w:tcPr>
          <w:p w14:paraId="4E910EAD"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Risk evidence:</w:t>
            </w:r>
            <w:r w:rsidRPr="00795089">
              <w:rPr>
                <w:rFonts w:eastAsia="Times New Roman" w:cs="Calibri"/>
                <w:color w:val="000000"/>
                <w:lang w:eastAsia="en-GB"/>
              </w:rPr>
              <w:t xml:space="preserve"> Clear examples of how the support prevents imminent harm or homelessness.</w:t>
            </w:r>
          </w:p>
        </w:tc>
      </w:tr>
      <w:tr w:rsidR="00505184" w:rsidRPr="00795089" w14:paraId="61516ECF" w14:textId="77777777" w:rsidTr="00D66262">
        <w:trPr>
          <w:trHeight w:val="580"/>
        </w:trPr>
        <w:tc>
          <w:tcPr>
            <w:tcW w:w="2220" w:type="dxa"/>
            <w:vMerge w:val="restart"/>
            <w:tcBorders>
              <w:top w:val="single" w:sz="8" w:space="0" w:color="auto"/>
              <w:left w:val="single" w:sz="8" w:space="0" w:color="auto"/>
              <w:bottom w:val="single" w:sz="8" w:space="0" w:color="000000"/>
              <w:right w:val="single" w:sz="8" w:space="0" w:color="auto"/>
            </w:tcBorders>
            <w:hideMark/>
          </w:tcPr>
          <w:p w14:paraId="7159EEF0"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Vulnerable Children &amp; Young People</w:t>
            </w:r>
          </w:p>
        </w:tc>
        <w:tc>
          <w:tcPr>
            <w:tcW w:w="3520" w:type="dxa"/>
            <w:vMerge w:val="restart"/>
            <w:tcBorders>
              <w:top w:val="nil"/>
              <w:left w:val="single" w:sz="8" w:space="0" w:color="auto"/>
              <w:bottom w:val="single" w:sz="8" w:space="0" w:color="000000"/>
              <w:right w:val="single" w:sz="8" w:space="0" w:color="auto"/>
            </w:tcBorders>
            <w:hideMark/>
          </w:tcPr>
          <w:p w14:paraId="223055B7"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color w:val="000000"/>
                <w:lang w:eastAsia="en-GB"/>
              </w:rPr>
              <w:t>Evidence of support for defined cohorts facing safety, wellbeing, or development risks.</w:t>
            </w:r>
          </w:p>
        </w:tc>
        <w:tc>
          <w:tcPr>
            <w:tcW w:w="3889" w:type="dxa"/>
            <w:tcBorders>
              <w:top w:val="single" w:sz="8" w:space="0" w:color="auto"/>
              <w:left w:val="nil"/>
              <w:bottom w:val="nil"/>
              <w:right w:val="single" w:sz="8" w:space="0" w:color="auto"/>
            </w:tcBorders>
            <w:hideMark/>
          </w:tcPr>
          <w:p w14:paraId="33550FF1" w14:textId="75897E3E"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Cohort specifics:</w:t>
            </w:r>
            <w:r w:rsidRPr="00795089">
              <w:rPr>
                <w:rFonts w:eastAsia="Times New Roman" w:cs="Calibri"/>
                <w:color w:val="000000"/>
                <w:lang w:eastAsia="en-GB"/>
              </w:rPr>
              <w:t xml:space="preserve"> </w:t>
            </w:r>
            <w:r w:rsidR="000C432A" w:rsidRPr="000C432A">
              <w:rPr>
                <w:rFonts w:eastAsia="Times New Roman" w:cs="Calibri"/>
                <w:color w:val="000000"/>
                <w:lang w:eastAsia="en-GB"/>
              </w:rPr>
              <w:t xml:space="preserve">Evidence the service is exclusively for young people (0–25) and tailored to their specific developmental stage. </w:t>
            </w:r>
            <w:r w:rsidRPr="00795089">
              <w:rPr>
                <w:rFonts w:eastAsia="Times New Roman" w:cs="Calibri"/>
                <w:color w:val="000000"/>
                <w:lang w:eastAsia="en-GB"/>
              </w:rPr>
              <w:t>- care leavers, young carers, or those with SEND.</w:t>
            </w:r>
          </w:p>
        </w:tc>
      </w:tr>
      <w:tr w:rsidR="00505184" w:rsidRPr="00795089" w14:paraId="3B2C091C" w14:textId="77777777" w:rsidTr="00D66262">
        <w:trPr>
          <w:trHeight w:val="580"/>
        </w:trPr>
        <w:tc>
          <w:tcPr>
            <w:tcW w:w="2220" w:type="dxa"/>
            <w:vMerge/>
            <w:tcBorders>
              <w:top w:val="single" w:sz="8" w:space="0" w:color="auto"/>
              <w:left w:val="single" w:sz="8" w:space="0" w:color="auto"/>
              <w:bottom w:val="single" w:sz="8" w:space="0" w:color="000000"/>
              <w:right w:val="single" w:sz="8" w:space="0" w:color="auto"/>
            </w:tcBorders>
            <w:vAlign w:val="center"/>
            <w:hideMark/>
          </w:tcPr>
          <w:p w14:paraId="0C14E860"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nil"/>
              <w:left w:val="single" w:sz="8" w:space="0" w:color="auto"/>
              <w:bottom w:val="single" w:sz="8" w:space="0" w:color="000000"/>
              <w:right w:val="single" w:sz="8" w:space="0" w:color="auto"/>
            </w:tcBorders>
            <w:vAlign w:val="center"/>
            <w:hideMark/>
          </w:tcPr>
          <w:p w14:paraId="192350F1"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nil"/>
              <w:right w:val="single" w:sz="8" w:space="0" w:color="auto"/>
            </w:tcBorders>
            <w:hideMark/>
          </w:tcPr>
          <w:p w14:paraId="7AE4EB83" w14:textId="2A3E2B04"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Settings:</w:t>
            </w:r>
            <w:r w:rsidRPr="00795089">
              <w:rPr>
                <w:rFonts w:eastAsia="Times New Roman" w:cs="Calibri"/>
                <w:color w:val="000000"/>
                <w:lang w:eastAsia="en-GB"/>
              </w:rPr>
              <w:t xml:space="preserve"> Work taking place in high-need settings like alternative provision or social care.</w:t>
            </w:r>
          </w:p>
        </w:tc>
      </w:tr>
      <w:tr w:rsidR="00505184" w:rsidRPr="00795089" w14:paraId="10C8A3CC" w14:textId="77777777" w:rsidTr="00D66262">
        <w:trPr>
          <w:trHeight w:val="590"/>
        </w:trPr>
        <w:tc>
          <w:tcPr>
            <w:tcW w:w="2220" w:type="dxa"/>
            <w:vMerge/>
            <w:tcBorders>
              <w:top w:val="single" w:sz="8" w:space="0" w:color="auto"/>
              <w:left w:val="single" w:sz="8" w:space="0" w:color="auto"/>
              <w:bottom w:val="single" w:sz="8" w:space="0" w:color="000000"/>
              <w:right w:val="single" w:sz="8" w:space="0" w:color="auto"/>
            </w:tcBorders>
            <w:vAlign w:val="center"/>
            <w:hideMark/>
          </w:tcPr>
          <w:p w14:paraId="23664F37" w14:textId="77777777" w:rsidR="00505184" w:rsidRPr="00795089" w:rsidRDefault="00505184" w:rsidP="00D66262">
            <w:pPr>
              <w:spacing w:after="0" w:line="240" w:lineRule="auto"/>
              <w:rPr>
                <w:rFonts w:eastAsia="Times New Roman" w:cs="Calibri"/>
                <w:color w:val="000000"/>
                <w:lang w:eastAsia="en-GB"/>
              </w:rPr>
            </w:pPr>
          </w:p>
        </w:tc>
        <w:tc>
          <w:tcPr>
            <w:tcW w:w="3520" w:type="dxa"/>
            <w:vMerge/>
            <w:tcBorders>
              <w:top w:val="nil"/>
              <w:left w:val="single" w:sz="8" w:space="0" w:color="auto"/>
              <w:bottom w:val="single" w:sz="8" w:space="0" w:color="000000"/>
              <w:right w:val="single" w:sz="8" w:space="0" w:color="auto"/>
            </w:tcBorders>
            <w:vAlign w:val="center"/>
            <w:hideMark/>
          </w:tcPr>
          <w:p w14:paraId="26F9B4DE" w14:textId="77777777" w:rsidR="00505184" w:rsidRPr="00795089" w:rsidRDefault="00505184" w:rsidP="00D66262">
            <w:pPr>
              <w:spacing w:after="0" w:line="240" w:lineRule="auto"/>
              <w:rPr>
                <w:rFonts w:eastAsia="Times New Roman" w:cs="Calibri"/>
                <w:color w:val="000000"/>
                <w:lang w:eastAsia="en-GB"/>
              </w:rPr>
            </w:pPr>
          </w:p>
        </w:tc>
        <w:tc>
          <w:tcPr>
            <w:tcW w:w="3889" w:type="dxa"/>
            <w:tcBorders>
              <w:top w:val="nil"/>
              <w:left w:val="nil"/>
              <w:bottom w:val="single" w:sz="8" w:space="0" w:color="auto"/>
              <w:right w:val="single" w:sz="8" w:space="0" w:color="auto"/>
            </w:tcBorders>
            <w:hideMark/>
          </w:tcPr>
          <w:p w14:paraId="549C71DA" w14:textId="77777777" w:rsidR="00505184" w:rsidRPr="00795089" w:rsidRDefault="00505184" w:rsidP="00D66262">
            <w:pPr>
              <w:spacing w:after="0" w:line="240" w:lineRule="auto"/>
              <w:rPr>
                <w:rFonts w:eastAsia="Times New Roman" w:cs="Calibri"/>
                <w:color w:val="000000"/>
                <w:lang w:eastAsia="en-GB"/>
              </w:rPr>
            </w:pPr>
            <w:r w:rsidRPr="00795089">
              <w:rPr>
                <w:rFonts w:eastAsia="Times New Roman" w:cs="Calibri"/>
                <w:b/>
                <w:bCs/>
                <w:color w:val="000000"/>
                <w:lang w:eastAsia="en-GB"/>
              </w:rPr>
              <w:t>Specialist staff:</w:t>
            </w:r>
            <w:r w:rsidRPr="00795089">
              <w:rPr>
                <w:rFonts w:eastAsia="Times New Roman" w:cs="Calibri"/>
                <w:color w:val="000000"/>
                <w:lang w:eastAsia="en-GB"/>
              </w:rPr>
              <w:t xml:space="preserve"> Evidence of trauma-informed training or safeguarding protocols.</w:t>
            </w:r>
          </w:p>
        </w:tc>
      </w:tr>
    </w:tbl>
    <w:p w14:paraId="7C40764A" w14:textId="77777777" w:rsidR="00505184" w:rsidRPr="00795089" w:rsidRDefault="00505184" w:rsidP="00505184">
      <w:pPr>
        <w:pStyle w:val="ListBullet"/>
        <w:numPr>
          <w:ilvl w:val="0"/>
          <w:numId w:val="0"/>
        </w:numPr>
        <w:spacing w:after="120"/>
        <w:rPr>
          <w:rFonts w:cs="Calibri"/>
          <w:sz w:val="24"/>
          <w:szCs w:val="24"/>
          <w:lang w:val="en-GB"/>
        </w:rPr>
      </w:pPr>
    </w:p>
    <w:p w14:paraId="17E70131" w14:textId="31B5FBCF" w:rsidR="00791830" w:rsidRPr="00791830" w:rsidRDefault="00791830" w:rsidP="00791830">
      <w:pPr>
        <w:tabs>
          <w:tab w:val="left" w:pos="1930"/>
        </w:tabs>
        <w:rPr>
          <w:b/>
          <w:bCs/>
        </w:rPr>
      </w:pPr>
      <w:r w:rsidRPr="00791830">
        <w:rPr>
          <w:b/>
          <w:bCs/>
        </w:rPr>
        <w:lastRenderedPageBreak/>
        <w:t>Ou</w:t>
      </w:r>
      <w:r w:rsidR="00E11578">
        <w:rPr>
          <w:b/>
          <w:bCs/>
        </w:rPr>
        <w:t>tputs, Outcomes and Foundation KPI</w:t>
      </w:r>
    </w:p>
    <w:p w14:paraId="1425735E" w14:textId="503C6259" w:rsidR="00791830" w:rsidRDefault="00791830" w:rsidP="00791830">
      <w:pPr>
        <w:tabs>
          <w:tab w:val="left" w:pos="1930"/>
        </w:tabs>
      </w:pPr>
      <w:r>
        <w:t xml:space="preserve">We are </w:t>
      </w:r>
      <w:r w:rsidR="48E0AA3A">
        <w:t xml:space="preserve">particularly </w:t>
      </w:r>
      <w:r>
        <w:t xml:space="preserve">interested in other outputs and outcomes you measure, please do include details of these within your application. </w:t>
      </w:r>
      <w:r w:rsidR="3A69DF94">
        <w:t xml:space="preserve">We want to understand how your work delivers immediate relief whilst building long-term solutions. </w:t>
      </w:r>
    </w:p>
    <w:p w14:paraId="65628CDF" w14:textId="35DEAAC1" w:rsidR="00E11578" w:rsidRDefault="00233818" w:rsidP="00791830">
      <w:pPr>
        <w:tabs>
          <w:tab w:val="left" w:pos="1930"/>
        </w:tabs>
      </w:pPr>
      <w:r w:rsidRPr="00233818">
        <w:t xml:space="preserve">Applicants should include </w:t>
      </w:r>
      <w:r w:rsidR="00E11578">
        <w:t>details of</w:t>
      </w:r>
      <w:r w:rsidRPr="00233818">
        <w:t xml:space="preserve"> outputs or outcomes their organisation measures, </w:t>
      </w:r>
      <w:r w:rsidR="00E11578">
        <w:t xml:space="preserve">as well as detailed information about how this information is collected and measured. </w:t>
      </w:r>
    </w:p>
    <w:p w14:paraId="08C2972A" w14:textId="371CA979" w:rsidR="00696FBF" w:rsidRPr="00795089" w:rsidRDefault="00B2553E" w:rsidP="005A746A">
      <w:pPr>
        <w:rPr>
          <w:rFonts w:eastAsia="Times New Roman" w:cs="Times New Roman"/>
          <w:color w:val="000000"/>
          <w:kern w:val="0"/>
          <w:lang w:eastAsia="en-GB"/>
          <w14:ligatures w14:val="none"/>
        </w:rPr>
      </w:pPr>
      <w:r w:rsidRPr="00795089">
        <w:t xml:space="preserve">We </w:t>
      </w:r>
      <w:r w:rsidR="005A746A" w:rsidRPr="00795089">
        <w:t>ask all charities to report on a specific KPI related to their priority area</w:t>
      </w:r>
      <w:r w:rsidR="00466226" w:rsidRPr="00795089">
        <w:t xml:space="preserve"> (detailed below)</w:t>
      </w:r>
      <w:r w:rsidR="005A746A" w:rsidRPr="00795089">
        <w:t xml:space="preserve">. </w:t>
      </w:r>
      <w:r w:rsidR="005A746A" w:rsidRPr="00795089">
        <w:rPr>
          <w:rFonts w:eastAsia="Times New Roman" w:cs="Times New Roman"/>
          <w:color w:val="000000"/>
          <w:kern w:val="0"/>
          <w:lang w:eastAsia="en-GB"/>
          <w14:ligatures w14:val="none"/>
        </w:rPr>
        <w:t>We do</w:t>
      </w:r>
      <w:r w:rsidR="005A746A" w:rsidRPr="00795089">
        <w:rPr>
          <w:rFonts w:eastAsia="Times New Roman" w:cs="Times New Roman"/>
          <w:b/>
          <w:bCs/>
          <w:color w:val="000000"/>
          <w:kern w:val="0"/>
          <w:lang w:eastAsia="en-GB"/>
          <w14:ligatures w14:val="none"/>
        </w:rPr>
        <w:t xml:space="preserve"> not</w:t>
      </w:r>
      <w:r w:rsidR="005A746A" w:rsidRPr="00795089">
        <w:rPr>
          <w:rFonts w:eastAsia="Times New Roman" w:cs="Times New Roman"/>
          <w:color w:val="000000"/>
          <w:kern w:val="0"/>
          <w:lang w:eastAsia="en-GB"/>
          <w14:ligatures w14:val="none"/>
        </w:rPr>
        <w:t xml:space="preserve"> expect you to create a new reporting framework for this grant. Instead, we ask ‘how would you report on this KPI using your existing monitoring and evaluation processes?’ </w:t>
      </w:r>
    </w:p>
    <w:p w14:paraId="45CFEFAC" w14:textId="37B7A04F" w:rsidR="00B2553E" w:rsidRPr="00795089" w:rsidRDefault="005A746A" w:rsidP="005A746A">
      <w:pPr>
        <w:rPr>
          <w:rFonts w:eastAsia="Times New Roman" w:cs="Times New Roman"/>
          <w:color w:val="000000"/>
          <w:kern w:val="0"/>
          <w:lang w:eastAsia="en-GB"/>
          <w14:ligatures w14:val="none"/>
        </w:rPr>
      </w:pPr>
      <w:r w:rsidRPr="00795089">
        <w:rPr>
          <w:rFonts w:eastAsia="Times New Roman" w:cs="Times New Roman"/>
          <w:color w:val="000000"/>
          <w:kern w:val="0"/>
          <w:lang w:eastAsia="en-GB"/>
          <w14:ligatures w14:val="none"/>
        </w:rPr>
        <w:t>You</w:t>
      </w:r>
      <w:r w:rsidR="00696FBF" w:rsidRPr="00795089">
        <w:rPr>
          <w:rFonts w:eastAsia="Times New Roman" w:cs="Times New Roman"/>
          <w:color w:val="000000"/>
          <w:kern w:val="0"/>
          <w:lang w:eastAsia="en-GB"/>
          <w14:ligatures w14:val="none"/>
        </w:rPr>
        <w:t>r answer could</w:t>
      </w:r>
      <w:r w:rsidRPr="00795089">
        <w:rPr>
          <w:rFonts w:eastAsia="Times New Roman" w:cs="Times New Roman"/>
          <w:color w:val="000000"/>
          <w:kern w:val="0"/>
          <w:lang w:eastAsia="en-GB"/>
          <w14:ligatures w14:val="none"/>
        </w:rPr>
        <w:t xml:space="preserve"> describe the data you already collect (e.g. </w:t>
      </w:r>
      <w:r w:rsidR="0006625B" w:rsidRPr="00795089">
        <w:rPr>
          <w:rFonts w:eastAsia="Times New Roman" w:cs="Times New Roman"/>
          <w:color w:val="000000"/>
          <w:kern w:val="0"/>
          <w:lang w:eastAsia="en-GB"/>
          <w14:ligatures w14:val="none"/>
        </w:rPr>
        <w:t>quantitative</w:t>
      </w:r>
      <w:r w:rsidRPr="00795089">
        <w:rPr>
          <w:rFonts w:eastAsia="Times New Roman" w:cs="Times New Roman"/>
          <w:color w:val="000000"/>
          <w:kern w:val="0"/>
          <w:lang w:eastAsia="en-GB"/>
          <w14:ligatures w14:val="none"/>
        </w:rPr>
        <w:t xml:space="preserve"> such as surveys, case notes, outcome tools or qualitative including case-studies) and how these could be used to evidence the outcome. </w:t>
      </w:r>
      <w:r w:rsidR="00791830">
        <w:rPr>
          <w:rFonts w:eastAsia="Times New Roman" w:cs="Times New Roman"/>
          <w:color w:val="000000"/>
          <w:kern w:val="0"/>
          <w:lang w:eastAsia="en-GB"/>
          <w14:ligatures w14:val="none"/>
        </w:rPr>
        <w:t xml:space="preserve">We are particularly keen to understand how you measure change over time.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5A746A" w:rsidRPr="00795089" w14:paraId="734F0CE8" w14:textId="77777777" w:rsidTr="00841178">
        <w:trPr>
          <w:trHeight w:val="600"/>
        </w:trPr>
        <w:tc>
          <w:tcPr>
            <w:tcW w:w="2830" w:type="dxa"/>
            <w:hideMark/>
          </w:tcPr>
          <w:p w14:paraId="334A2CEA" w14:textId="77777777" w:rsidR="005A746A" w:rsidRPr="00795089" w:rsidRDefault="005A746A" w:rsidP="00841178">
            <w:pPr>
              <w:spacing w:after="0" w:line="240" w:lineRule="auto"/>
              <w:rPr>
                <w:rFonts w:eastAsia="Times New Roman" w:cs="Calibri"/>
                <w:b/>
                <w:bCs/>
                <w:color w:val="000000"/>
                <w:lang w:eastAsia="en-GB"/>
              </w:rPr>
            </w:pPr>
            <w:r w:rsidRPr="00795089">
              <w:rPr>
                <w:rFonts w:eastAsia="Calibri" w:cs="Calibri"/>
                <w:b/>
                <w:bCs/>
                <w:color w:val="000000"/>
                <w:lang w:eastAsia="en-GB"/>
              </w:rPr>
              <w:t>Families Experiencing Financial Disadvantage</w:t>
            </w:r>
          </w:p>
        </w:tc>
        <w:tc>
          <w:tcPr>
            <w:tcW w:w="6521" w:type="dxa"/>
            <w:vAlign w:val="center"/>
            <w:hideMark/>
          </w:tcPr>
          <w:p w14:paraId="3FA9E1FA" w14:textId="77777777" w:rsidR="005A746A" w:rsidRPr="00795089" w:rsidRDefault="005A746A" w:rsidP="00841178">
            <w:pPr>
              <w:spacing w:after="0"/>
              <w:rPr>
                <w:rFonts w:eastAsia="Times New Roman" w:cs="Calibri"/>
                <w:color w:val="000000"/>
                <w:lang w:eastAsia="en-GB"/>
              </w:rPr>
            </w:pPr>
            <w:r w:rsidRPr="00795089">
              <w:rPr>
                <w:rFonts w:eastAsia="Times New Roman" w:cs="Calibri"/>
                <w:color w:val="000000"/>
                <w:lang w:eastAsia="en-GB"/>
              </w:rPr>
              <w:t xml:space="preserve">Families reporting improved ability to meet essential needs sustainably. </w:t>
            </w:r>
          </w:p>
        </w:tc>
      </w:tr>
      <w:tr w:rsidR="005A746A" w:rsidRPr="00795089" w14:paraId="66B465DF" w14:textId="77777777" w:rsidTr="00841178">
        <w:trPr>
          <w:trHeight w:val="600"/>
        </w:trPr>
        <w:tc>
          <w:tcPr>
            <w:tcW w:w="2830" w:type="dxa"/>
            <w:hideMark/>
          </w:tcPr>
          <w:p w14:paraId="3AAF1F5C" w14:textId="77777777" w:rsidR="005A746A" w:rsidRPr="00795089" w:rsidRDefault="005A746A" w:rsidP="00841178">
            <w:pPr>
              <w:spacing w:after="0" w:line="240" w:lineRule="auto"/>
              <w:rPr>
                <w:rFonts w:eastAsia="Times New Roman" w:cs="Calibri"/>
                <w:b/>
                <w:bCs/>
                <w:color w:val="000000"/>
                <w:lang w:eastAsia="en-GB"/>
              </w:rPr>
            </w:pPr>
            <w:r w:rsidRPr="00795089">
              <w:rPr>
                <w:rFonts w:eastAsia="Calibri" w:cs="Calibri"/>
                <w:b/>
                <w:bCs/>
                <w:color w:val="000000"/>
                <w:lang w:eastAsia="en-GB"/>
              </w:rPr>
              <w:t>Hardship &amp; Crisis</w:t>
            </w:r>
          </w:p>
        </w:tc>
        <w:tc>
          <w:tcPr>
            <w:tcW w:w="6521" w:type="dxa"/>
            <w:vAlign w:val="center"/>
            <w:hideMark/>
          </w:tcPr>
          <w:p w14:paraId="6B52E8A8" w14:textId="77777777" w:rsidR="005A746A" w:rsidRPr="00795089" w:rsidRDefault="005A746A" w:rsidP="00841178">
            <w:pPr>
              <w:spacing w:after="0"/>
              <w:rPr>
                <w:rFonts w:eastAsia="Times New Roman" w:cs="Calibri"/>
                <w:color w:val="000000"/>
                <w:lang w:eastAsia="en-GB"/>
              </w:rPr>
            </w:pPr>
            <w:r w:rsidRPr="00795089">
              <w:rPr>
                <w:rFonts w:eastAsia="Times New Roman" w:cs="Calibri"/>
                <w:color w:val="000000"/>
                <w:lang w:eastAsia="en-GB"/>
              </w:rPr>
              <w:t>Beneficiaries reporting that support stabilised their situation and/or prevented further escalation.</w:t>
            </w:r>
          </w:p>
        </w:tc>
      </w:tr>
      <w:tr w:rsidR="005A746A" w:rsidRPr="00795089" w14:paraId="7C2EFFFC" w14:textId="77777777" w:rsidTr="00841178">
        <w:trPr>
          <w:trHeight w:val="600"/>
        </w:trPr>
        <w:tc>
          <w:tcPr>
            <w:tcW w:w="2830" w:type="dxa"/>
            <w:hideMark/>
          </w:tcPr>
          <w:p w14:paraId="31B50B22" w14:textId="77777777" w:rsidR="005A746A" w:rsidRPr="00795089" w:rsidRDefault="005A746A" w:rsidP="00841178">
            <w:pPr>
              <w:spacing w:after="0" w:line="240" w:lineRule="auto"/>
              <w:rPr>
                <w:rFonts w:eastAsia="Times New Roman" w:cs="Calibri"/>
                <w:b/>
                <w:bCs/>
                <w:color w:val="000000"/>
                <w:lang w:eastAsia="en-GB"/>
              </w:rPr>
            </w:pPr>
            <w:r w:rsidRPr="00795089">
              <w:rPr>
                <w:rFonts w:eastAsia="Calibri" w:cs="Calibri"/>
                <w:b/>
                <w:bCs/>
                <w:color w:val="000000"/>
                <w:lang w:eastAsia="en-GB"/>
              </w:rPr>
              <w:t>Vulnerable Children and Young People</w:t>
            </w:r>
          </w:p>
        </w:tc>
        <w:tc>
          <w:tcPr>
            <w:tcW w:w="6521" w:type="dxa"/>
            <w:vAlign w:val="center"/>
            <w:hideMark/>
          </w:tcPr>
          <w:p w14:paraId="0978D924" w14:textId="77777777" w:rsidR="005A746A" w:rsidRPr="00795089" w:rsidRDefault="005A746A" w:rsidP="00841178">
            <w:pPr>
              <w:spacing w:after="0"/>
              <w:rPr>
                <w:rFonts w:eastAsia="Times New Roman" w:cs="Calibri"/>
                <w:color w:val="000000"/>
                <w:lang w:eastAsia="en-GB"/>
              </w:rPr>
            </w:pPr>
            <w:r w:rsidRPr="00795089">
              <w:rPr>
                <w:rFonts w:eastAsia="Times New Roman" w:cs="Calibri"/>
                <w:color w:val="000000"/>
                <w:lang w:eastAsia="en-GB"/>
              </w:rPr>
              <w:t>Children and young people reporting increased stability and/or confidence in their support network.</w:t>
            </w:r>
          </w:p>
        </w:tc>
      </w:tr>
    </w:tbl>
    <w:p w14:paraId="7A6FD995" w14:textId="77777777" w:rsidR="00E14BCE" w:rsidRDefault="00E14BCE" w:rsidP="005A746A">
      <w:pPr>
        <w:tabs>
          <w:tab w:val="left" w:pos="1930"/>
        </w:tabs>
      </w:pPr>
    </w:p>
    <w:p w14:paraId="20F5AFFC" w14:textId="77777777" w:rsidR="00696FBF" w:rsidRPr="00795089" w:rsidRDefault="00B2553E" w:rsidP="00696FBF">
      <w:pPr>
        <w:tabs>
          <w:tab w:val="center" w:pos="4513"/>
        </w:tabs>
        <w:rPr>
          <w:b/>
          <w:bCs/>
        </w:rPr>
      </w:pPr>
      <w:r w:rsidRPr="00795089">
        <w:rPr>
          <w:b/>
          <w:bCs/>
        </w:rPr>
        <w:t xml:space="preserve">What to expect </w:t>
      </w:r>
      <w:r w:rsidR="00696FBF" w:rsidRPr="00795089">
        <w:rPr>
          <w:b/>
          <w:bCs/>
        </w:rPr>
        <w:t xml:space="preserve">following submission </w:t>
      </w:r>
    </w:p>
    <w:p w14:paraId="12F3EA42" w14:textId="77777777" w:rsidR="00696FBF" w:rsidRPr="00795089" w:rsidRDefault="00696FBF" w:rsidP="00696FBF">
      <w:pPr>
        <w:pStyle w:val="ListParagraph"/>
        <w:numPr>
          <w:ilvl w:val="0"/>
          <w:numId w:val="9"/>
        </w:numPr>
        <w:tabs>
          <w:tab w:val="center" w:pos="4513"/>
        </w:tabs>
      </w:pPr>
      <w:r w:rsidRPr="00795089">
        <w:rPr>
          <w:b/>
          <w:bCs/>
        </w:rPr>
        <w:t>Outcome notification:</w:t>
      </w:r>
      <w:r w:rsidRPr="00795089">
        <w:t xml:space="preserve"> All applicants will be notified of the outcome, whether successful or unsuccessful.</w:t>
      </w:r>
    </w:p>
    <w:p w14:paraId="296501F2" w14:textId="4DEE7673" w:rsidR="00696FBF" w:rsidRPr="00795089" w:rsidRDefault="00696FBF" w:rsidP="00696FBF">
      <w:pPr>
        <w:pStyle w:val="ListParagraph"/>
        <w:numPr>
          <w:ilvl w:val="0"/>
          <w:numId w:val="9"/>
        </w:numPr>
        <w:tabs>
          <w:tab w:val="center" w:pos="4513"/>
        </w:tabs>
      </w:pPr>
      <w:r w:rsidRPr="00795089">
        <w:rPr>
          <w:b/>
          <w:bCs/>
        </w:rPr>
        <w:t>Notification timeline:</w:t>
      </w:r>
      <w:r w:rsidRPr="00795089">
        <w:t xml:space="preserve"> </w:t>
      </w:r>
      <w:r w:rsidR="00047FEC" w:rsidRPr="00795089">
        <w:t xml:space="preserve">Within </w:t>
      </w:r>
      <w:r w:rsidR="00FC1A29">
        <w:t>12</w:t>
      </w:r>
      <w:r w:rsidR="00047FEC" w:rsidRPr="00795089">
        <w:t xml:space="preserve">-weeks of the application deadline. </w:t>
      </w:r>
    </w:p>
    <w:p w14:paraId="66DD688A" w14:textId="5110F964" w:rsidR="00696FBF" w:rsidRPr="00795089" w:rsidRDefault="00696FBF" w:rsidP="00696FBF">
      <w:pPr>
        <w:pStyle w:val="ListParagraph"/>
        <w:numPr>
          <w:ilvl w:val="0"/>
          <w:numId w:val="9"/>
        </w:numPr>
        <w:tabs>
          <w:tab w:val="center" w:pos="4513"/>
        </w:tabs>
      </w:pPr>
      <w:r w:rsidRPr="00795089">
        <w:rPr>
          <w:b/>
          <w:bCs/>
        </w:rPr>
        <w:t>Payment:</w:t>
      </w:r>
      <w:r w:rsidRPr="00795089">
        <w:t xml:space="preserve"> </w:t>
      </w:r>
      <w:r w:rsidR="00047FEC" w:rsidRPr="00795089">
        <w:t xml:space="preserve">Payments will be made within 6-weeks of being notified. </w:t>
      </w:r>
    </w:p>
    <w:p w14:paraId="18A59B9A" w14:textId="2503F913" w:rsidR="00696FBF" w:rsidRPr="00795089" w:rsidRDefault="00696FBF" w:rsidP="00696FBF">
      <w:pPr>
        <w:pStyle w:val="ListParagraph"/>
        <w:numPr>
          <w:ilvl w:val="0"/>
          <w:numId w:val="9"/>
        </w:numPr>
        <w:tabs>
          <w:tab w:val="center" w:pos="4513"/>
        </w:tabs>
      </w:pPr>
      <w:r w:rsidRPr="00795089">
        <w:rPr>
          <w:b/>
          <w:bCs/>
        </w:rPr>
        <w:t>Reporting:</w:t>
      </w:r>
      <w:r w:rsidRPr="00795089">
        <w:t xml:space="preserve"> You must submit an impact report within 12 months of the notification using our reporting template</w:t>
      </w:r>
      <w:r w:rsidR="00074565">
        <w:t xml:space="preserve">. </w:t>
      </w:r>
      <w:r w:rsidR="008D7E19" w:rsidRPr="00795089">
        <w:t xml:space="preserve"> </w:t>
      </w:r>
    </w:p>
    <w:p w14:paraId="2A2D73AB" w14:textId="1E79120F" w:rsidR="00696FBF" w:rsidRPr="00795089" w:rsidRDefault="00696FBF" w:rsidP="00696FBF">
      <w:pPr>
        <w:pStyle w:val="ListParagraph"/>
        <w:numPr>
          <w:ilvl w:val="0"/>
          <w:numId w:val="9"/>
        </w:numPr>
        <w:tabs>
          <w:tab w:val="center" w:pos="4513"/>
        </w:tabs>
      </w:pPr>
      <w:r w:rsidRPr="00795089">
        <w:rPr>
          <w:b/>
          <w:bCs/>
        </w:rPr>
        <w:t>Communications:</w:t>
      </w:r>
      <w:r w:rsidRPr="00795089">
        <w:t xml:space="preserve"> You may also be asked to participate to share images, videos or case studies to share impact, both internally at </w:t>
      </w:r>
      <w:proofErr w:type="spellStart"/>
      <w:r w:rsidRPr="00795089">
        <w:t>cardfactory</w:t>
      </w:r>
      <w:proofErr w:type="spellEnd"/>
      <w:r w:rsidRPr="00795089">
        <w:t xml:space="preserve"> PLC and externally thorough the </w:t>
      </w:r>
      <w:proofErr w:type="spellStart"/>
      <w:r w:rsidRPr="00795089">
        <w:t>cardfactory</w:t>
      </w:r>
      <w:proofErr w:type="spellEnd"/>
      <w:r w:rsidRPr="00795089">
        <w:t xml:space="preserve"> Foundation’s social media channels. </w:t>
      </w:r>
    </w:p>
    <w:p w14:paraId="2108DC6C" w14:textId="68C8D4E4" w:rsidR="00B2553E" w:rsidRPr="00795089" w:rsidRDefault="00B2553E" w:rsidP="00696FBF">
      <w:pPr>
        <w:tabs>
          <w:tab w:val="center" w:pos="4513"/>
        </w:tabs>
        <w:rPr>
          <w:b/>
          <w:bCs/>
        </w:rPr>
      </w:pPr>
      <w:r w:rsidRPr="00795089">
        <w:rPr>
          <w:b/>
          <w:bCs/>
        </w:rPr>
        <w:t xml:space="preserve">Contact us </w:t>
      </w:r>
    </w:p>
    <w:p w14:paraId="1CEFDBD2" w14:textId="5DE62123" w:rsidR="00C03E94" w:rsidRPr="00C03E94" w:rsidRDefault="00C03E94" w:rsidP="00C03E94">
      <w:pPr>
        <w:tabs>
          <w:tab w:val="center" w:pos="4513"/>
        </w:tabs>
      </w:pPr>
      <w:r w:rsidRPr="00795089">
        <w:t xml:space="preserve">If you have any questions or issues completing the application form, please contact </w:t>
      </w:r>
      <w:hyperlink r:id="rId11" w:history="1">
        <w:r w:rsidRPr="00795089">
          <w:rPr>
            <w:rStyle w:val="Hyperlink"/>
          </w:rPr>
          <w:t>info@cardfactoryfoundation.org.uk</w:t>
        </w:r>
      </w:hyperlink>
      <w:r w:rsidRPr="00795089">
        <w:t xml:space="preserve">. </w:t>
      </w:r>
    </w:p>
    <w:p w14:paraId="43939910" w14:textId="603B9E55" w:rsidR="0A65C1BF" w:rsidRDefault="0A65C1BF">
      <w:r>
        <w:t xml:space="preserve"> </w:t>
      </w:r>
    </w:p>
    <w:sectPr w:rsidR="0A65C1BF" w:rsidSect="00913977">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ECC7" w14:textId="77777777" w:rsidR="00E00536" w:rsidRPr="00795089" w:rsidRDefault="00E00536" w:rsidP="00913977">
      <w:pPr>
        <w:spacing w:after="0" w:line="240" w:lineRule="auto"/>
      </w:pPr>
      <w:r w:rsidRPr="00795089">
        <w:separator/>
      </w:r>
    </w:p>
  </w:endnote>
  <w:endnote w:type="continuationSeparator" w:id="0">
    <w:p w14:paraId="50851567" w14:textId="77777777" w:rsidR="00E00536" w:rsidRPr="00795089" w:rsidRDefault="00E00536" w:rsidP="00913977">
      <w:pPr>
        <w:spacing w:after="0" w:line="240" w:lineRule="auto"/>
      </w:pPr>
      <w:r w:rsidRPr="00795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688C" w14:textId="77777777" w:rsidR="00E00536" w:rsidRPr="00795089" w:rsidRDefault="00E00536" w:rsidP="00913977">
      <w:pPr>
        <w:spacing w:after="0" w:line="240" w:lineRule="auto"/>
      </w:pPr>
      <w:r w:rsidRPr="00795089">
        <w:separator/>
      </w:r>
    </w:p>
  </w:footnote>
  <w:footnote w:type="continuationSeparator" w:id="0">
    <w:p w14:paraId="59A30924" w14:textId="77777777" w:rsidR="00E00536" w:rsidRPr="00795089" w:rsidRDefault="00E00536" w:rsidP="00913977">
      <w:pPr>
        <w:spacing w:after="0" w:line="240" w:lineRule="auto"/>
      </w:pPr>
      <w:r w:rsidRPr="00795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ED98" w14:textId="7600807D" w:rsidR="00913977" w:rsidRPr="00795089" w:rsidRDefault="00913977" w:rsidP="00913977">
    <w:pPr>
      <w:spacing w:after="0" w:line="312" w:lineRule="auto"/>
      <w:jc w:val="both"/>
      <w:rPr>
        <w:rFonts w:ascii="Calibri" w:hAnsi="Calibri" w:cs="Calibri"/>
        <w:b/>
        <w:sz w:val="18"/>
        <w:szCs w:val="18"/>
      </w:rPr>
    </w:pPr>
    <w:r w:rsidRPr="00795089">
      <w:rPr>
        <w:noProof/>
      </w:rPr>
      <w:drawing>
        <wp:anchor distT="0" distB="0" distL="114300" distR="114300" simplePos="0" relativeHeight="251658240" behindDoc="0" locked="0" layoutInCell="1" allowOverlap="1" wp14:anchorId="3BB9A7B6" wp14:editId="5B3D1252">
          <wp:simplePos x="0" y="0"/>
          <wp:positionH relativeFrom="margin">
            <wp:posOffset>3803015</wp:posOffset>
          </wp:positionH>
          <wp:positionV relativeFrom="paragraph">
            <wp:posOffset>-182880</wp:posOffset>
          </wp:positionV>
          <wp:extent cx="2330450" cy="729615"/>
          <wp:effectExtent l="0" t="0" r="0" b="0"/>
          <wp:wrapSquare wrapText="bothSides"/>
          <wp:docPr id="1134159123"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89142"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089">
      <w:rPr>
        <w:rFonts w:ascii="Calibri" w:hAnsi="Calibri" w:cs="Calibri"/>
        <w:b/>
        <w:sz w:val="18"/>
        <w:szCs w:val="18"/>
      </w:rPr>
      <w:t>Company Number: 11217058</w:t>
    </w:r>
  </w:p>
  <w:p w14:paraId="65FBB32A" w14:textId="77777777" w:rsidR="00913977" w:rsidRPr="00795089" w:rsidRDefault="00913977" w:rsidP="00913977">
    <w:pPr>
      <w:spacing w:after="0" w:line="312" w:lineRule="auto"/>
      <w:rPr>
        <w:rFonts w:ascii="Calibri" w:hAnsi="Calibri" w:cs="Calibri"/>
        <w:b/>
        <w:sz w:val="18"/>
        <w:szCs w:val="18"/>
      </w:rPr>
    </w:pPr>
    <w:r w:rsidRPr="00795089">
      <w:rPr>
        <w:rFonts w:ascii="Calibri" w:hAnsi="Calibri" w:cs="Calibri"/>
        <w:b/>
        <w:sz w:val="18"/>
        <w:szCs w:val="18"/>
      </w:rPr>
      <w:t xml:space="preserve">Charity Registration Number: </w:t>
    </w:r>
    <w:r w:rsidRPr="00795089">
      <w:rPr>
        <w:rFonts w:ascii="Calibri" w:hAnsi="Calibri" w:cs="Calibri"/>
        <w:b/>
        <w:sz w:val="18"/>
        <w:szCs w:val="18"/>
        <w:shd w:val="clear" w:color="auto" w:fill="FFFFFF"/>
      </w:rPr>
      <w:t> 1180081</w:t>
    </w:r>
  </w:p>
  <w:p w14:paraId="04152F06" w14:textId="77777777" w:rsidR="00913977" w:rsidRPr="00795089" w:rsidRDefault="00913977" w:rsidP="00913977">
    <w:pPr>
      <w:spacing w:after="0" w:line="312" w:lineRule="auto"/>
      <w:rPr>
        <w:rFonts w:ascii="Calibri" w:hAnsi="Calibri" w:cs="Calibri"/>
        <w:b/>
        <w:sz w:val="18"/>
        <w:szCs w:val="18"/>
      </w:rPr>
    </w:pPr>
    <w:r w:rsidRPr="00795089">
      <w:rPr>
        <w:rFonts w:ascii="Calibri" w:hAnsi="Calibri" w:cs="Calibri"/>
        <w:b/>
        <w:sz w:val="18"/>
        <w:szCs w:val="18"/>
      </w:rPr>
      <w:t>CARD FACTORY FOUNDATION (the ‘Foundation’)</w:t>
    </w:r>
  </w:p>
  <w:p w14:paraId="62BC3469" w14:textId="77777777" w:rsidR="00913977" w:rsidRPr="00795089" w:rsidRDefault="00913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C241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757E7"/>
    <w:multiLevelType w:val="hybridMultilevel"/>
    <w:tmpl w:val="F53A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92D4C"/>
    <w:multiLevelType w:val="multilevel"/>
    <w:tmpl w:val="D484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676D9"/>
    <w:multiLevelType w:val="hybridMultilevel"/>
    <w:tmpl w:val="446AF5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4D4ECB"/>
    <w:multiLevelType w:val="hybridMultilevel"/>
    <w:tmpl w:val="F64C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C75A3D"/>
    <w:multiLevelType w:val="hybridMultilevel"/>
    <w:tmpl w:val="456E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344DD"/>
    <w:multiLevelType w:val="hybridMultilevel"/>
    <w:tmpl w:val="3034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B6EEC"/>
    <w:multiLevelType w:val="multilevel"/>
    <w:tmpl w:val="29667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434FF"/>
    <w:multiLevelType w:val="hybridMultilevel"/>
    <w:tmpl w:val="B8F0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5102A"/>
    <w:multiLevelType w:val="hybridMultilevel"/>
    <w:tmpl w:val="5DB2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976D3"/>
    <w:multiLevelType w:val="multilevel"/>
    <w:tmpl w:val="7F7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851DD"/>
    <w:multiLevelType w:val="multilevel"/>
    <w:tmpl w:val="B84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786623">
    <w:abstractNumId w:val="9"/>
  </w:num>
  <w:num w:numId="2" w16cid:durableId="924194535">
    <w:abstractNumId w:val="0"/>
  </w:num>
  <w:num w:numId="3" w16cid:durableId="84304487">
    <w:abstractNumId w:val="11"/>
  </w:num>
  <w:num w:numId="4" w16cid:durableId="988479668">
    <w:abstractNumId w:val="3"/>
  </w:num>
  <w:num w:numId="5" w16cid:durableId="645399370">
    <w:abstractNumId w:val="6"/>
  </w:num>
  <w:num w:numId="6" w16cid:durableId="649332268">
    <w:abstractNumId w:val="2"/>
  </w:num>
  <w:num w:numId="7" w16cid:durableId="1223180788">
    <w:abstractNumId w:val="8"/>
  </w:num>
  <w:num w:numId="8" w16cid:durableId="996961600">
    <w:abstractNumId w:val="1"/>
  </w:num>
  <w:num w:numId="9" w16cid:durableId="1929269095">
    <w:abstractNumId w:val="5"/>
  </w:num>
  <w:num w:numId="10" w16cid:durableId="850339280">
    <w:abstractNumId w:val="10"/>
  </w:num>
  <w:num w:numId="11" w16cid:durableId="675888462">
    <w:abstractNumId w:val="7"/>
  </w:num>
  <w:num w:numId="12" w16cid:durableId="80983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79"/>
    <w:rsid w:val="0001055B"/>
    <w:rsid w:val="00017189"/>
    <w:rsid w:val="00047FEC"/>
    <w:rsid w:val="0006625B"/>
    <w:rsid w:val="00074565"/>
    <w:rsid w:val="0007687A"/>
    <w:rsid w:val="000C432A"/>
    <w:rsid w:val="00103FB3"/>
    <w:rsid w:val="00131074"/>
    <w:rsid w:val="00191E69"/>
    <w:rsid w:val="00211CC8"/>
    <w:rsid w:val="00233818"/>
    <w:rsid w:val="00234F38"/>
    <w:rsid w:val="0028463E"/>
    <w:rsid w:val="003405AC"/>
    <w:rsid w:val="003A092E"/>
    <w:rsid w:val="003D4A40"/>
    <w:rsid w:val="003F7328"/>
    <w:rsid w:val="00430498"/>
    <w:rsid w:val="00466226"/>
    <w:rsid w:val="0047286B"/>
    <w:rsid w:val="004751EB"/>
    <w:rsid w:val="004978DD"/>
    <w:rsid w:val="004A393F"/>
    <w:rsid w:val="004C0865"/>
    <w:rsid w:val="00505184"/>
    <w:rsid w:val="00511718"/>
    <w:rsid w:val="00522F6B"/>
    <w:rsid w:val="00530906"/>
    <w:rsid w:val="00564885"/>
    <w:rsid w:val="005A746A"/>
    <w:rsid w:val="005C653E"/>
    <w:rsid w:val="005F0C63"/>
    <w:rsid w:val="00626B85"/>
    <w:rsid w:val="00683BAE"/>
    <w:rsid w:val="00696FBF"/>
    <w:rsid w:val="006C5D2A"/>
    <w:rsid w:val="00704E57"/>
    <w:rsid w:val="0071636D"/>
    <w:rsid w:val="00753DFF"/>
    <w:rsid w:val="00761812"/>
    <w:rsid w:val="0076271D"/>
    <w:rsid w:val="00762EA6"/>
    <w:rsid w:val="00791830"/>
    <w:rsid w:val="00795089"/>
    <w:rsid w:val="007F5A6E"/>
    <w:rsid w:val="00803A69"/>
    <w:rsid w:val="00807E48"/>
    <w:rsid w:val="008132D7"/>
    <w:rsid w:val="0087610B"/>
    <w:rsid w:val="008B3B79"/>
    <w:rsid w:val="008B6899"/>
    <w:rsid w:val="008D7E19"/>
    <w:rsid w:val="008F5DAF"/>
    <w:rsid w:val="009068B3"/>
    <w:rsid w:val="00913977"/>
    <w:rsid w:val="00943C31"/>
    <w:rsid w:val="00982BBA"/>
    <w:rsid w:val="0099440B"/>
    <w:rsid w:val="009E63A8"/>
    <w:rsid w:val="00A43C65"/>
    <w:rsid w:val="00A54E71"/>
    <w:rsid w:val="00A86E3F"/>
    <w:rsid w:val="00AA7B6F"/>
    <w:rsid w:val="00AD7328"/>
    <w:rsid w:val="00AF6147"/>
    <w:rsid w:val="00B04C9F"/>
    <w:rsid w:val="00B2553E"/>
    <w:rsid w:val="00B4190C"/>
    <w:rsid w:val="00B659D2"/>
    <w:rsid w:val="00B841E0"/>
    <w:rsid w:val="00BD6EC8"/>
    <w:rsid w:val="00BF419C"/>
    <w:rsid w:val="00C03E94"/>
    <w:rsid w:val="00C37915"/>
    <w:rsid w:val="00C55A39"/>
    <w:rsid w:val="00CB7B9B"/>
    <w:rsid w:val="00CE0C2B"/>
    <w:rsid w:val="00CE306A"/>
    <w:rsid w:val="00D63F49"/>
    <w:rsid w:val="00DA10F4"/>
    <w:rsid w:val="00DD03D3"/>
    <w:rsid w:val="00DF5ED4"/>
    <w:rsid w:val="00E00536"/>
    <w:rsid w:val="00E068F4"/>
    <w:rsid w:val="00E11578"/>
    <w:rsid w:val="00E14BCE"/>
    <w:rsid w:val="00E52F12"/>
    <w:rsid w:val="00E64F26"/>
    <w:rsid w:val="00E81B83"/>
    <w:rsid w:val="00E95EB8"/>
    <w:rsid w:val="00EB1B33"/>
    <w:rsid w:val="00ED31DE"/>
    <w:rsid w:val="00EE1A5B"/>
    <w:rsid w:val="00F01670"/>
    <w:rsid w:val="00F05214"/>
    <w:rsid w:val="00FC1A29"/>
    <w:rsid w:val="00FF7925"/>
    <w:rsid w:val="07E7204B"/>
    <w:rsid w:val="0A65C1BF"/>
    <w:rsid w:val="0AE380A1"/>
    <w:rsid w:val="0C5E72DD"/>
    <w:rsid w:val="122CDE91"/>
    <w:rsid w:val="1DA63795"/>
    <w:rsid w:val="20BFC9C8"/>
    <w:rsid w:val="2EDA617A"/>
    <w:rsid w:val="318A84E5"/>
    <w:rsid w:val="33958C28"/>
    <w:rsid w:val="36A4D304"/>
    <w:rsid w:val="3A69DF94"/>
    <w:rsid w:val="487C1478"/>
    <w:rsid w:val="48E0AA3A"/>
    <w:rsid w:val="696BBE21"/>
    <w:rsid w:val="74034723"/>
    <w:rsid w:val="74B070CF"/>
    <w:rsid w:val="7A4FC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7FC90"/>
  <w15:chartTrackingRefBased/>
  <w15:docId w15:val="{225926C5-C966-492F-966E-C739606E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B79"/>
    <w:rPr>
      <w:rFonts w:eastAsiaTheme="majorEastAsia" w:cstheme="majorBidi"/>
      <w:color w:val="272727" w:themeColor="text1" w:themeTint="D8"/>
    </w:rPr>
  </w:style>
  <w:style w:type="paragraph" w:styleId="Title">
    <w:name w:val="Title"/>
    <w:basedOn w:val="Normal"/>
    <w:next w:val="Normal"/>
    <w:link w:val="TitleChar"/>
    <w:uiPriority w:val="10"/>
    <w:qFormat/>
    <w:rsid w:val="008B3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B79"/>
    <w:pPr>
      <w:spacing w:before="160"/>
      <w:jc w:val="center"/>
    </w:pPr>
    <w:rPr>
      <w:i/>
      <w:iCs/>
      <w:color w:val="404040" w:themeColor="text1" w:themeTint="BF"/>
    </w:rPr>
  </w:style>
  <w:style w:type="character" w:customStyle="1" w:styleId="QuoteChar">
    <w:name w:val="Quote Char"/>
    <w:basedOn w:val="DefaultParagraphFont"/>
    <w:link w:val="Quote"/>
    <w:uiPriority w:val="29"/>
    <w:rsid w:val="008B3B79"/>
    <w:rPr>
      <w:i/>
      <w:iCs/>
      <w:color w:val="404040" w:themeColor="text1" w:themeTint="BF"/>
    </w:rPr>
  </w:style>
  <w:style w:type="paragraph" w:styleId="ListParagraph">
    <w:name w:val="List Paragraph"/>
    <w:basedOn w:val="Normal"/>
    <w:uiPriority w:val="34"/>
    <w:qFormat/>
    <w:rsid w:val="008B3B79"/>
    <w:pPr>
      <w:ind w:left="720"/>
      <w:contextualSpacing/>
    </w:pPr>
  </w:style>
  <w:style w:type="character" w:styleId="IntenseEmphasis">
    <w:name w:val="Intense Emphasis"/>
    <w:basedOn w:val="DefaultParagraphFont"/>
    <w:uiPriority w:val="21"/>
    <w:qFormat/>
    <w:rsid w:val="008B3B79"/>
    <w:rPr>
      <w:i/>
      <w:iCs/>
      <w:color w:val="0F4761" w:themeColor="accent1" w:themeShade="BF"/>
    </w:rPr>
  </w:style>
  <w:style w:type="paragraph" w:styleId="IntenseQuote">
    <w:name w:val="Intense Quote"/>
    <w:basedOn w:val="Normal"/>
    <w:next w:val="Normal"/>
    <w:link w:val="IntenseQuoteChar"/>
    <w:uiPriority w:val="30"/>
    <w:qFormat/>
    <w:rsid w:val="008B3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B79"/>
    <w:rPr>
      <w:i/>
      <w:iCs/>
      <w:color w:val="0F4761" w:themeColor="accent1" w:themeShade="BF"/>
    </w:rPr>
  </w:style>
  <w:style w:type="character" w:styleId="IntenseReference">
    <w:name w:val="Intense Reference"/>
    <w:basedOn w:val="DefaultParagraphFont"/>
    <w:uiPriority w:val="32"/>
    <w:qFormat/>
    <w:rsid w:val="008B3B79"/>
    <w:rPr>
      <w:b/>
      <w:bCs/>
      <w:smallCaps/>
      <w:color w:val="0F4761" w:themeColor="accent1" w:themeShade="BF"/>
      <w:spacing w:val="5"/>
    </w:rPr>
  </w:style>
  <w:style w:type="paragraph" w:styleId="ListBullet">
    <w:name w:val="List Bullet"/>
    <w:basedOn w:val="Normal"/>
    <w:uiPriority w:val="99"/>
    <w:unhideWhenUsed/>
    <w:rsid w:val="00505184"/>
    <w:pPr>
      <w:numPr>
        <w:numId w:val="2"/>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BodyText">
    <w:name w:val="Body Text"/>
    <w:basedOn w:val="Normal"/>
    <w:link w:val="BodyTextChar"/>
    <w:semiHidden/>
    <w:unhideWhenUsed/>
    <w:qFormat/>
    <w:rsid w:val="00696FBF"/>
    <w:pPr>
      <w:spacing w:before="180" w:after="180" w:line="240" w:lineRule="auto"/>
    </w:pPr>
    <w:rPr>
      <w:kern w:val="0"/>
      <w:lang w:val="en-US"/>
      <w14:ligatures w14:val="none"/>
    </w:rPr>
  </w:style>
  <w:style w:type="character" w:customStyle="1" w:styleId="BodyTextChar">
    <w:name w:val="Body Text Char"/>
    <w:basedOn w:val="DefaultParagraphFont"/>
    <w:link w:val="BodyText"/>
    <w:semiHidden/>
    <w:rsid w:val="00696FBF"/>
    <w:rPr>
      <w:kern w:val="0"/>
      <w:lang w:val="en-US"/>
      <w14:ligatures w14:val="none"/>
    </w:rPr>
  </w:style>
  <w:style w:type="paragraph" w:styleId="Header">
    <w:name w:val="header"/>
    <w:basedOn w:val="Normal"/>
    <w:link w:val="HeaderChar"/>
    <w:uiPriority w:val="99"/>
    <w:unhideWhenUsed/>
    <w:rsid w:val="00913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977"/>
  </w:style>
  <w:style w:type="paragraph" w:styleId="Footer">
    <w:name w:val="footer"/>
    <w:basedOn w:val="Normal"/>
    <w:link w:val="FooterChar"/>
    <w:uiPriority w:val="99"/>
    <w:unhideWhenUsed/>
    <w:rsid w:val="00913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977"/>
  </w:style>
  <w:style w:type="character" w:styleId="Hyperlink">
    <w:name w:val="Hyperlink"/>
    <w:basedOn w:val="DefaultParagraphFont"/>
    <w:uiPriority w:val="99"/>
    <w:unhideWhenUsed/>
    <w:rsid w:val="00C03E94"/>
    <w:rPr>
      <w:color w:val="467886" w:themeColor="hyperlink"/>
      <w:u w:val="single"/>
    </w:rPr>
  </w:style>
  <w:style w:type="character" w:styleId="UnresolvedMention">
    <w:name w:val="Unresolved Mention"/>
    <w:basedOn w:val="DefaultParagraphFont"/>
    <w:uiPriority w:val="99"/>
    <w:semiHidden/>
    <w:unhideWhenUsed/>
    <w:rsid w:val="00C03E94"/>
    <w:rPr>
      <w:color w:val="605E5C"/>
      <w:shd w:val="clear" w:color="auto" w:fill="E1DFDD"/>
    </w:rPr>
  </w:style>
  <w:style w:type="paragraph" w:styleId="Revision">
    <w:name w:val="Revision"/>
    <w:hidden/>
    <w:uiPriority w:val="99"/>
    <w:semiHidden/>
    <w:rsid w:val="00522F6B"/>
    <w:pPr>
      <w:spacing w:after="0" w:line="240" w:lineRule="auto"/>
    </w:pPr>
  </w:style>
  <w:style w:type="character" w:styleId="CommentReference">
    <w:name w:val="annotation reference"/>
    <w:basedOn w:val="DefaultParagraphFont"/>
    <w:uiPriority w:val="99"/>
    <w:semiHidden/>
    <w:unhideWhenUsed/>
    <w:rsid w:val="00BF419C"/>
    <w:rPr>
      <w:sz w:val="16"/>
      <w:szCs w:val="16"/>
    </w:rPr>
  </w:style>
  <w:style w:type="paragraph" w:styleId="CommentText">
    <w:name w:val="annotation text"/>
    <w:basedOn w:val="Normal"/>
    <w:link w:val="CommentTextChar"/>
    <w:uiPriority w:val="99"/>
    <w:unhideWhenUsed/>
    <w:rsid w:val="00BF419C"/>
    <w:pPr>
      <w:spacing w:line="240" w:lineRule="auto"/>
    </w:pPr>
    <w:rPr>
      <w:sz w:val="20"/>
      <w:szCs w:val="20"/>
    </w:rPr>
  </w:style>
  <w:style w:type="character" w:customStyle="1" w:styleId="CommentTextChar">
    <w:name w:val="Comment Text Char"/>
    <w:basedOn w:val="DefaultParagraphFont"/>
    <w:link w:val="CommentText"/>
    <w:uiPriority w:val="99"/>
    <w:rsid w:val="00BF419C"/>
    <w:rPr>
      <w:sz w:val="20"/>
      <w:szCs w:val="20"/>
    </w:rPr>
  </w:style>
  <w:style w:type="paragraph" w:styleId="CommentSubject">
    <w:name w:val="annotation subject"/>
    <w:basedOn w:val="CommentText"/>
    <w:next w:val="CommentText"/>
    <w:link w:val="CommentSubjectChar"/>
    <w:uiPriority w:val="99"/>
    <w:semiHidden/>
    <w:unhideWhenUsed/>
    <w:rsid w:val="00BF419C"/>
    <w:rPr>
      <w:b/>
      <w:bCs/>
    </w:rPr>
  </w:style>
  <w:style w:type="character" w:customStyle="1" w:styleId="CommentSubjectChar">
    <w:name w:val="Comment Subject Char"/>
    <w:basedOn w:val="CommentTextChar"/>
    <w:link w:val="CommentSubject"/>
    <w:uiPriority w:val="99"/>
    <w:semiHidden/>
    <w:rsid w:val="00BF41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ardfactoryfoundation.org.uk" TargetMode="External"/><Relationship Id="rId5" Type="http://schemas.openxmlformats.org/officeDocument/2006/relationships/styles" Target="styles.xml"/><Relationship Id="rId10" Type="http://schemas.openxmlformats.org/officeDocument/2006/relationships/hyperlink" Target="mailto:info@cardfactory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d2f889-d212-48ef-85b0-7b98a490b16e">
      <Terms xmlns="http://schemas.microsoft.com/office/infopath/2007/PartnerControls"/>
    </lcf76f155ced4ddcb4097134ff3c332f>
    <TaxCatchAll xmlns="e241f2c6-2d36-4bd6-a6ae-a508fed201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462D7771B9042B55F03C967DA47E4" ma:contentTypeVersion="15" ma:contentTypeDescription="Create a new document." ma:contentTypeScope="" ma:versionID="d97b0dac50a3a0f19b692a77a71c22f2">
  <xsd:schema xmlns:xsd="http://www.w3.org/2001/XMLSchema" xmlns:xs="http://www.w3.org/2001/XMLSchema" xmlns:p="http://schemas.microsoft.com/office/2006/metadata/properties" xmlns:ns2="a7d2f889-d212-48ef-85b0-7b98a490b16e" xmlns:ns3="e241f2c6-2d36-4bd6-a6ae-a508fed2015a" targetNamespace="http://schemas.microsoft.com/office/2006/metadata/properties" ma:root="true" ma:fieldsID="7422970fc4a7f30a9308d936544e9f6d" ns2:_="" ns3:_="">
    <xsd:import namespace="a7d2f889-d212-48ef-85b0-7b98a490b16e"/>
    <xsd:import namespace="e241f2c6-2d36-4bd6-a6ae-a508fed201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f889-d212-48ef-85b0-7b98a490b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d6e98b-c01d-4059-916d-47b89596ef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1f2c6-2d36-4bd6-a6ae-a508fed201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d34157-fe3d-47b1-86ac-0198d5b37cf7}" ma:internalName="TaxCatchAll" ma:showField="CatchAllData" ma:web="e241f2c6-2d36-4bd6-a6ae-a508fed201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175CD-3276-4C62-910E-26681239DC1E}">
  <ds:schemaRefs>
    <ds:schemaRef ds:uri="http://schemas.microsoft.com/sharepoint/v3/contenttype/forms"/>
  </ds:schemaRefs>
</ds:datastoreItem>
</file>

<file path=customXml/itemProps2.xml><?xml version="1.0" encoding="utf-8"?>
<ds:datastoreItem xmlns:ds="http://schemas.openxmlformats.org/officeDocument/2006/customXml" ds:itemID="{6B40B123-8AD5-45C3-80E5-463B52B39CDB}">
  <ds:schemaRefs>
    <ds:schemaRef ds:uri="http://schemas.microsoft.com/office/2006/metadata/properties"/>
    <ds:schemaRef ds:uri="http://schemas.microsoft.com/office/infopath/2007/PartnerControls"/>
    <ds:schemaRef ds:uri="a7d2f889-d212-48ef-85b0-7b98a490b16e"/>
    <ds:schemaRef ds:uri="e241f2c6-2d36-4bd6-a6ae-a508fed2015a"/>
  </ds:schemaRefs>
</ds:datastoreItem>
</file>

<file path=customXml/itemProps3.xml><?xml version="1.0" encoding="utf-8"?>
<ds:datastoreItem xmlns:ds="http://schemas.openxmlformats.org/officeDocument/2006/customXml" ds:itemID="{3C8C1841-33FD-4CED-9B4B-1E76AD653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f889-d212-48ef-85b0-7b98a490b16e"/>
    <ds:schemaRef ds:uri="e241f2c6-2d36-4bd6-a6ae-a508fed20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Saltrick</dc:creator>
  <cp:keywords/>
  <dc:description/>
  <cp:lastModifiedBy>Ellie Saltrick</cp:lastModifiedBy>
  <cp:revision>3</cp:revision>
  <dcterms:created xsi:type="dcterms:W3CDTF">2026-06-23T11:05:00Z</dcterms:created>
  <dcterms:modified xsi:type="dcterms:W3CDTF">2026-06-23T11:06:00Z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0x0101009E2462D7771B9042B55F03C967DA47E4</vt:lpwstr>
  </property>
  <property fmtid="{D5CDD505-2E9C-101B-9397-08002B2CF9AE}" pid="3" name="MediaServiceImageTags">
    <vt:lpwstr/>
  </property>
</Properties>
</file>